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56" w:rsidRPr="009B7A37" w:rsidRDefault="00AD1616" w:rsidP="00122956">
      <w:pPr>
        <w:jc w:val="center"/>
        <w:rPr>
          <w:rFonts w:ascii="Arial" w:hAnsi="Arial"/>
          <w:b/>
          <w:sz w:val="28"/>
          <w:szCs w:val="28"/>
        </w:rPr>
      </w:pPr>
      <w:r w:rsidRPr="009B7A37">
        <w:rPr>
          <w:rFonts w:ascii="Arial" w:hAnsi="Arial"/>
          <w:b/>
          <w:sz w:val="28"/>
          <w:szCs w:val="28"/>
        </w:rPr>
        <w:t>APPENDIX B</w:t>
      </w:r>
    </w:p>
    <w:p w:rsidR="00122956" w:rsidRPr="009B7A37" w:rsidRDefault="00122956" w:rsidP="00C7127E">
      <w:pPr>
        <w:rPr>
          <w:rFonts w:ascii="Arial" w:hAnsi="Arial"/>
          <w:b/>
        </w:rPr>
      </w:pPr>
    </w:p>
    <w:p w:rsidR="006C5ABD" w:rsidRPr="009B7A37" w:rsidRDefault="00AD1616" w:rsidP="00AD1616">
      <w:pPr>
        <w:jc w:val="center"/>
        <w:rPr>
          <w:rFonts w:ascii="Arial" w:hAnsi="Arial"/>
          <w:b/>
        </w:rPr>
      </w:pPr>
      <w:r w:rsidRPr="009B7A37">
        <w:rPr>
          <w:rFonts w:ascii="Arial" w:hAnsi="Arial"/>
          <w:b/>
        </w:rPr>
        <w:t>PROPOSED PARKING MANAGEMENT PROGRAMME 20</w:t>
      </w:r>
      <w:r w:rsidR="00714F1F">
        <w:rPr>
          <w:rFonts w:ascii="Arial" w:hAnsi="Arial"/>
          <w:b/>
        </w:rPr>
        <w:t>2</w:t>
      </w:r>
      <w:r w:rsidR="008875D4">
        <w:rPr>
          <w:rFonts w:ascii="Arial" w:hAnsi="Arial"/>
          <w:b/>
        </w:rPr>
        <w:t>1</w:t>
      </w:r>
      <w:r w:rsidR="0013366D" w:rsidRPr="009B7A37">
        <w:rPr>
          <w:rFonts w:ascii="Arial" w:hAnsi="Arial"/>
          <w:b/>
        </w:rPr>
        <w:t>/</w:t>
      </w:r>
      <w:r w:rsidR="00E4011C">
        <w:rPr>
          <w:rFonts w:ascii="Arial" w:hAnsi="Arial"/>
          <w:b/>
        </w:rPr>
        <w:t>2</w:t>
      </w:r>
      <w:r w:rsidR="008875D4">
        <w:rPr>
          <w:rFonts w:ascii="Arial" w:hAnsi="Arial"/>
          <w:b/>
        </w:rPr>
        <w:t>2</w:t>
      </w:r>
    </w:p>
    <w:p w:rsidR="00C7127E" w:rsidRPr="007E74AD" w:rsidRDefault="00C7127E" w:rsidP="001E3938">
      <w:pPr>
        <w:rPr>
          <w:rFonts w:ascii="Arial" w:hAnsi="Arial"/>
          <w:b/>
          <w:highlight w:val="yellow"/>
        </w:rPr>
      </w:pPr>
    </w:p>
    <w:tbl>
      <w:tblPr>
        <w:tblW w:w="53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0"/>
        <w:gridCol w:w="5777"/>
        <w:gridCol w:w="817"/>
        <w:tblGridChange w:id="0">
          <w:tblGrid>
            <w:gridCol w:w="3370"/>
            <w:gridCol w:w="5777"/>
            <w:gridCol w:w="817"/>
          </w:tblGrid>
        </w:tblGridChange>
      </w:tblGrid>
      <w:tr w:rsidR="005360E9" w:rsidRPr="007E74AD" w:rsidTr="001E3938">
        <w:tblPrEx>
          <w:tblCellMar>
            <w:top w:w="0" w:type="dxa"/>
            <w:bottom w:w="0" w:type="dxa"/>
          </w:tblCellMar>
        </w:tblPrEx>
        <w:trPr>
          <w:trHeight w:val="557"/>
        </w:trPr>
        <w:tc>
          <w:tcPr>
            <w:tcW w:w="1691" w:type="pct"/>
            <w:tcBorders>
              <w:top w:val="single" w:sz="4" w:space="0" w:color="auto"/>
              <w:bottom w:val="single" w:sz="4" w:space="0" w:color="auto"/>
            </w:tcBorders>
            <w:shd w:val="pct20" w:color="auto" w:fill="auto"/>
          </w:tcPr>
          <w:p w:rsidR="005360E9" w:rsidRPr="007E74AD" w:rsidRDefault="005360E9" w:rsidP="009D136B">
            <w:pPr>
              <w:spacing w:line="360" w:lineRule="auto"/>
              <w:jc w:val="both"/>
              <w:rPr>
                <w:rFonts w:ascii="Arial" w:hAnsi="Arial"/>
                <w:b/>
                <w:color w:val="000000"/>
              </w:rPr>
            </w:pPr>
            <w:r w:rsidRPr="007E74AD">
              <w:rPr>
                <w:rFonts w:ascii="Arial" w:hAnsi="Arial"/>
                <w:b/>
                <w:color w:val="000000"/>
              </w:rPr>
              <w:t>Location</w:t>
            </w:r>
          </w:p>
        </w:tc>
        <w:tc>
          <w:tcPr>
            <w:tcW w:w="2899" w:type="pct"/>
            <w:tcBorders>
              <w:top w:val="single" w:sz="4" w:space="0" w:color="auto"/>
              <w:bottom w:val="single" w:sz="4" w:space="0" w:color="auto"/>
            </w:tcBorders>
            <w:shd w:val="pct20" w:color="auto" w:fill="auto"/>
          </w:tcPr>
          <w:p w:rsidR="005360E9" w:rsidRPr="007E74AD" w:rsidRDefault="005360E9" w:rsidP="005360E9">
            <w:pPr>
              <w:spacing w:line="360" w:lineRule="auto"/>
              <w:rPr>
                <w:rFonts w:ascii="Arial" w:hAnsi="Arial"/>
                <w:b/>
              </w:rPr>
            </w:pPr>
            <w:r w:rsidRPr="007E74AD">
              <w:rPr>
                <w:rFonts w:ascii="Arial" w:hAnsi="Arial"/>
                <w:b/>
              </w:rPr>
              <w:t>Scope</w:t>
            </w:r>
            <w:r w:rsidR="009D136B" w:rsidRPr="007E74AD">
              <w:rPr>
                <w:rFonts w:ascii="Arial" w:hAnsi="Arial"/>
                <w:b/>
              </w:rPr>
              <w:t xml:space="preserve"> of scheme</w:t>
            </w:r>
          </w:p>
        </w:tc>
        <w:tc>
          <w:tcPr>
            <w:tcW w:w="410" w:type="pct"/>
            <w:tcBorders>
              <w:top w:val="single" w:sz="4" w:space="0" w:color="auto"/>
              <w:bottom w:val="single" w:sz="4" w:space="0" w:color="auto"/>
            </w:tcBorders>
            <w:shd w:val="pct20" w:color="auto" w:fill="auto"/>
          </w:tcPr>
          <w:p w:rsidR="005360E9" w:rsidRPr="00151370" w:rsidRDefault="00027A7B" w:rsidP="00151370">
            <w:pPr>
              <w:spacing w:line="360" w:lineRule="auto"/>
              <w:jc w:val="center"/>
              <w:rPr>
                <w:rFonts w:ascii="Arial" w:hAnsi="Arial" w:cs="Arial"/>
                <w:b/>
              </w:rPr>
            </w:pPr>
            <w:r w:rsidRPr="00151370" w:rsidDel="00027A7B">
              <w:rPr>
                <w:rFonts w:ascii="Arial" w:hAnsi="Arial" w:cs="Arial"/>
                <w:b/>
              </w:rPr>
              <w:t xml:space="preserve"> </w:t>
            </w:r>
            <w:r w:rsidR="005360E9" w:rsidRPr="00151370">
              <w:rPr>
                <w:rFonts w:ascii="Arial" w:hAnsi="Arial" w:cs="Arial"/>
                <w:b/>
              </w:rPr>
              <w:t>(£k)</w:t>
            </w:r>
          </w:p>
        </w:tc>
      </w:tr>
      <w:tr w:rsidR="0012615C" w:rsidRPr="007E74AD" w:rsidTr="001E3938">
        <w:tblPrEx>
          <w:tblCellMar>
            <w:top w:w="0" w:type="dxa"/>
            <w:bottom w:w="0" w:type="dxa"/>
          </w:tblCellMar>
        </w:tblPrEx>
        <w:trPr>
          <w:trHeight w:val="710"/>
        </w:trPr>
        <w:tc>
          <w:tcPr>
            <w:tcW w:w="1691" w:type="pct"/>
            <w:shd w:val="pct10" w:color="auto" w:fill="auto"/>
          </w:tcPr>
          <w:p w:rsidR="0012615C" w:rsidRPr="007E74AD" w:rsidRDefault="00513CE4" w:rsidP="00027A7B">
            <w:pPr>
              <w:rPr>
                <w:rFonts w:ascii="Arial" w:hAnsi="Arial"/>
                <w:b/>
              </w:rPr>
            </w:pPr>
            <w:r>
              <w:rPr>
                <w:rFonts w:ascii="Arial" w:hAnsi="Arial"/>
                <w:b/>
              </w:rPr>
              <w:t>On-</w:t>
            </w:r>
            <w:r w:rsidR="00027A7B">
              <w:rPr>
                <w:rFonts w:ascii="Arial" w:hAnsi="Arial"/>
                <w:b/>
              </w:rPr>
              <w:t xml:space="preserve"> </w:t>
            </w:r>
            <w:r>
              <w:rPr>
                <w:rFonts w:ascii="Arial" w:hAnsi="Arial"/>
                <w:b/>
              </w:rPr>
              <w:t>going s</w:t>
            </w:r>
            <w:r w:rsidR="0012615C" w:rsidRPr="007E74AD">
              <w:rPr>
                <w:rFonts w:ascii="Arial" w:hAnsi="Arial"/>
                <w:b/>
              </w:rPr>
              <w:t>cheme</w:t>
            </w:r>
            <w:r w:rsidR="00EA7BEE">
              <w:rPr>
                <w:rFonts w:ascii="Arial" w:hAnsi="Arial"/>
                <w:b/>
              </w:rPr>
              <w:t>s</w:t>
            </w:r>
            <w:r w:rsidR="0012615C" w:rsidRPr="007E74AD">
              <w:rPr>
                <w:rFonts w:ascii="Arial" w:hAnsi="Arial"/>
                <w:b/>
              </w:rPr>
              <w:t xml:space="preserve"> carried over from 20</w:t>
            </w:r>
            <w:r w:rsidR="00023F3E">
              <w:rPr>
                <w:rFonts w:ascii="Arial" w:hAnsi="Arial"/>
                <w:b/>
              </w:rPr>
              <w:t>20</w:t>
            </w:r>
            <w:r w:rsidR="00A46233">
              <w:rPr>
                <w:rFonts w:ascii="Arial" w:hAnsi="Arial"/>
                <w:b/>
              </w:rPr>
              <w:t>/</w:t>
            </w:r>
            <w:r w:rsidR="00714F1F">
              <w:rPr>
                <w:rFonts w:ascii="Arial" w:hAnsi="Arial"/>
                <w:b/>
              </w:rPr>
              <w:t>2</w:t>
            </w:r>
            <w:r w:rsidR="00023F3E">
              <w:rPr>
                <w:rFonts w:ascii="Arial" w:hAnsi="Arial"/>
                <w:b/>
              </w:rPr>
              <w:t>1</w:t>
            </w:r>
          </w:p>
        </w:tc>
        <w:tc>
          <w:tcPr>
            <w:tcW w:w="2899" w:type="pct"/>
            <w:shd w:val="pct10" w:color="auto" w:fill="auto"/>
          </w:tcPr>
          <w:p w:rsidR="0012615C" w:rsidRPr="007E74AD" w:rsidRDefault="0012615C" w:rsidP="005360E9">
            <w:pPr>
              <w:rPr>
                <w:rFonts w:ascii="Arial" w:hAnsi="Arial"/>
                <w:color w:val="000000"/>
              </w:rPr>
            </w:pPr>
          </w:p>
        </w:tc>
        <w:tc>
          <w:tcPr>
            <w:tcW w:w="410" w:type="pct"/>
            <w:shd w:val="pct10" w:color="auto" w:fill="auto"/>
          </w:tcPr>
          <w:p w:rsidR="0012615C" w:rsidRPr="00151370" w:rsidRDefault="0012615C" w:rsidP="00151370">
            <w:pPr>
              <w:jc w:val="center"/>
              <w:rPr>
                <w:rFonts w:ascii="Arial" w:hAnsi="Arial" w:cs="Arial"/>
                <w:b/>
                <w:color w:val="000000"/>
              </w:rPr>
            </w:pPr>
          </w:p>
        </w:tc>
      </w:tr>
      <w:tr w:rsidR="00E57D83" w:rsidRPr="009C54AC" w:rsidTr="00AD35CF">
        <w:tblPrEx>
          <w:tblCellMar>
            <w:top w:w="0" w:type="dxa"/>
            <w:bottom w:w="0" w:type="dxa"/>
          </w:tblCellMar>
        </w:tblPrEx>
        <w:trPr>
          <w:trHeight w:val="716"/>
        </w:trPr>
        <w:tc>
          <w:tcPr>
            <w:tcW w:w="1691" w:type="pct"/>
          </w:tcPr>
          <w:p w:rsidR="006A452A" w:rsidRDefault="00E57D83" w:rsidP="00880372">
            <w:pPr>
              <w:rPr>
                <w:rFonts w:ascii="Arial" w:hAnsi="Arial" w:cs="Arial"/>
              </w:rPr>
            </w:pPr>
            <w:r w:rsidRPr="009C54AC">
              <w:rPr>
                <w:rFonts w:ascii="Arial" w:hAnsi="Arial" w:cs="Arial"/>
              </w:rPr>
              <w:t xml:space="preserve">Grimsdyke Road, Hallam Gardens, Hillview Road area, </w:t>
            </w:r>
          </w:p>
          <w:p w:rsidR="00E57D83" w:rsidRPr="009C54AC" w:rsidRDefault="00E57D83" w:rsidP="00880372">
            <w:pPr>
              <w:rPr>
                <w:rFonts w:ascii="Arial" w:hAnsi="Arial" w:cs="Arial"/>
              </w:rPr>
            </w:pPr>
            <w:r w:rsidRPr="009C54AC">
              <w:rPr>
                <w:rFonts w:ascii="Arial" w:hAnsi="Arial" w:cs="Arial"/>
              </w:rPr>
              <w:t>Hatch End (M)</w:t>
            </w:r>
          </w:p>
        </w:tc>
        <w:tc>
          <w:tcPr>
            <w:tcW w:w="2899" w:type="pct"/>
          </w:tcPr>
          <w:p w:rsidR="00023F3E" w:rsidRDefault="00023F3E" w:rsidP="00880372">
            <w:pPr>
              <w:rPr>
                <w:rFonts w:ascii="Arial" w:hAnsi="Arial" w:cs="Arial"/>
              </w:rPr>
            </w:pPr>
            <w:r>
              <w:rPr>
                <w:rFonts w:ascii="Arial" w:hAnsi="Arial" w:cs="Arial"/>
              </w:rPr>
              <w:t xml:space="preserve">Following informal consultation there </w:t>
            </w:r>
            <w:r w:rsidR="009C64BB">
              <w:rPr>
                <w:rFonts w:ascii="Arial" w:hAnsi="Arial" w:cs="Arial"/>
              </w:rPr>
              <w:t xml:space="preserve">was </w:t>
            </w:r>
            <w:r>
              <w:rPr>
                <w:rFonts w:ascii="Arial" w:hAnsi="Arial" w:cs="Arial"/>
              </w:rPr>
              <w:t>no support for the introduction of a resident permit scheme.</w:t>
            </w:r>
          </w:p>
          <w:p w:rsidR="00977CCD" w:rsidRDefault="00977CCD" w:rsidP="00880372">
            <w:pPr>
              <w:rPr>
                <w:rFonts w:ascii="Arial" w:hAnsi="Arial" w:cs="Arial"/>
              </w:rPr>
            </w:pPr>
          </w:p>
          <w:p w:rsidR="00E57D83" w:rsidRPr="009C54AC" w:rsidRDefault="00023F3E" w:rsidP="00880372">
            <w:pPr>
              <w:rPr>
                <w:rFonts w:ascii="Arial" w:hAnsi="Arial" w:cs="Arial"/>
              </w:rPr>
            </w:pPr>
            <w:r>
              <w:rPr>
                <w:rFonts w:ascii="Arial" w:hAnsi="Arial" w:cs="Arial"/>
              </w:rPr>
              <w:t xml:space="preserve">It has been agreed to take forward </w:t>
            </w:r>
            <w:r w:rsidR="009C64BB">
              <w:rPr>
                <w:rFonts w:ascii="Arial" w:hAnsi="Arial" w:cs="Arial"/>
              </w:rPr>
              <w:t xml:space="preserve">only </w:t>
            </w:r>
            <w:r>
              <w:rPr>
                <w:rFonts w:ascii="Arial" w:hAnsi="Arial" w:cs="Arial"/>
              </w:rPr>
              <w:t xml:space="preserve">proposals to introduce no waiting “At any time” restrictions (double yellow lines) </w:t>
            </w:r>
            <w:r w:rsidR="009C64BB">
              <w:rPr>
                <w:rFonts w:ascii="Arial" w:hAnsi="Arial" w:cs="Arial"/>
              </w:rPr>
              <w:t xml:space="preserve">throughout the consultation area </w:t>
            </w:r>
            <w:r>
              <w:rPr>
                <w:rFonts w:ascii="Arial" w:hAnsi="Arial" w:cs="Arial"/>
              </w:rPr>
              <w:t>along narrow sections of the carriageway, bends, junctions and turning heads to address safety/access concerns especially for emergency vehicles which have critical response times</w:t>
            </w:r>
            <w:r w:rsidR="00E57D83" w:rsidRPr="009C54AC">
              <w:rPr>
                <w:rFonts w:ascii="Arial" w:hAnsi="Arial" w:cs="Arial"/>
              </w:rPr>
              <w:t>.</w:t>
            </w:r>
          </w:p>
        </w:tc>
        <w:tc>
          <w:tcPr>
            <w:tcW w:w="410" w:type="pct"/>
            <w:shd w:val="clear" w:color="auto" w:fill="auto"/>
          </w:tcPr>
          <w:p w:rsidR="00E57D83" w:rsidRPr="009C54AC" w:rsidRDefault="002669D4" w:rsidP="00880372">
            <w:pPr>
              <w:jc w:val="center"/>
              <w:rPr>
                <w:rFonts w:ascii="Arial" w:hAnsi="Arial" w:cs="Arial"/>
                <w:b/>
              </w:rPr>
            </w:pPr>
            <w:r>
              <w:rPr>
                <w:rFonts w:ascii="Arial" w:hAnsi="Arial" w:cs="Arial"/>
                <w:b/>
              </w:rPr>
              <w:t>18</w:t>
            </w:r>
          </w:p>
        </w:tc>
      </w:tr>
      <w:tr w:rsidR="00F44862" w:rsidRPr="009C54AC" w:rsidTr="00AD35CF">
        <w:tblPrEx>
          <w:tblCellMar>
            <w:top w:w="0" w:type="dxa"/>
            <w:bottom w:w="0" w:type="dxa"/>
          </w:tblCellMar>
        </w:tblPrEx>
        <w:trPr>
          <w:trHeight w:val="716"/>
        </w:trPr>
        <w:tc>
          <w:tcPr>
            <w:tcW w:w="1691" w:type="pct"/>
            <w:shd w:val="clear" w:color="auto" w:fill="FFFFFF"/>
          </w:tcPr>
          <w:p w:rsidR="001E7E86" w:rsidRDefault="00F44862" w:rsidP="00F44862">
            <w:pPr>
              <w:rPr>
                <w:rFonts w:ascii="Arial" w:hAnsi="Arial" w:cs="Arial"/>
              </w:rPr>
            </w:pPr>
            <w:r w:rsidRPr="0034107A">
              <w:rPr>
                <w:rFonts w:ascii="Arial" w:hAnsi="Arial" w:cs="Arial"/>
              </w:rPr>
              <w:t>Green Lane, Culverlands Close, Ben Hale Close and Woodside Close</w:t>
            </w:r>
            <w:r w:rsidR="001E7E86">
              <w:rPr>
                <w:rFonts w:ascii="Arial" w:hAnsi="Arial" w:cs="Arial"/>
              </w:rPr>
              <w:t>,</w:t>
            </w:r>
          </w:p>
          <w:p w:rsidR="00F44862" w:rsidRPr="009C54AC" w:rsidRDefault="001E7E86" w:rsidP="00F44862">
            <w:pPr>
              <w:rPr>
                <w:rFonts w:ascii="Arial" w:hAnsi="Arial" w:cs="Arial"/>
              </w:rPr>
            </w:pPr>
            <w:r>
              <w:rPr>
                <w:rFonts w:ascii="Arial" w:hAnsi="Arial" w:cs="Arial"/>
              </w:rPr>
              <w:t>Stanmore Park</w:t>
            </w:r>
            <w:r w:rsidR="00F44862" w:rsidRPr="0034107A">
              <w:rPr>
                <w:rFonts w:ascii="Arial" w:hAnsi="Arial" w:cs="Arial"/>
              </w:rPr>
              <w:t xml:space="preserve"> </w:t>
            </w:r>
          </w:p>
        </w:tc>
        <w:tc>
          <w:tcPr>
            <w:tcW w:w="2899" w:type="pct"/>
            <w:shd w:val="clear" w:color="auto" w:fill="FFFFFF"/>
          </w:tcPr>
          <w:p w:rsidR="00F44862" w:rsidRDefault="00F44862" w:rsidP="00F44862">
            <w:pPr>
              <w:rPr>
                <w:rFonts w:ascii="Arial" w:hAnsi="Arial" w:cs="Arial"/>
              </w:rPr>
            </w:pPr>
            <w:r>
              <w:rPr>
                <w:rFonts w:ascii="Arial" w:hAnsi="Arial" w:cs="Arial"/>
              </w:rPr>
              <w:t xml:space="preserve">Following informal consultation there was support for a residents parking scheme </w:t>
            </w:r>
            <w:r w:rsidR="009C64BB">
              <w:rPr>
                <w:rFonts w:ascii="Arial" w:hAnsi="Arial" w:cs="Arial"/>
              </w:rPr>
              <w:t xml:space="preserve">only along the section of Green Lane north </w:t>
            </w:r>
            <w:r>
              <w:rPr>
                <w:rFonts w:ascii="Arial" w:hAnsi="Arial" w:cs="Arial"/>
              </w:rPr>
              <w:t xml:space="preserve">of Culverlands </w:t>
            </w:r>
            <w:r w:rsidR="006C5400">
              <w:rPr>
                <w:rFonts w:ascii="Arial" w:hAnsi="Arial" w:cs="Arial"/>
              </w:rPr>
              <w:t>Close</w:t>
            </w:r>
          </w:p>
          <w:p w:rsidR="00977CCD" w:rsidRDefault="00977CCD" w:rsidP="00F44862">
            <w:pPr>
              <w:rPr>
                <w:rFonts w:ascii="Arial" w:hAnsi="Arial" w:cs="Arial"/>
              </w:rPr>
            </w:pPr>
          </w:p>
        </w:tc>
        <w:tc>
          <w:tcPr>
            <w:tcW w:w="410" w:type="pct"/>
            <w:shd w:val="clear" w:color="auto" w:fill="auto"/>
          </w:tcPr>
          <w:p w:rsidR="00F44862" w:rsidDel="00023F3E" w:rsidRDefault="003F64A0" w:rsidP="00F44862">
            <w:pPr>
              <w:jc w:val="center"/>
              <w:rPr>
                <w:rFonts w:ascii="Arial" w:hAnsi="Arial" w:cs="Arial"/>
                <w:b/>
              </w:rPr>
            </w:pPr>
            <w:r>
              <w:rPr>
                <w:rFonts w:ascii="Arial" w:hAnsi="Arial" w:cs="Arial"/>
                <w:b/>
              </w:rPr>
              <w:t>22</w:t>
            </w:r>
          </w:p>
        </w:tc>
      </w:tr>
      <w:tr w:rsidR="006C5400" w:rsidRPr="009C54AC" w:rsidTr="00AD35CF">
        <w:tblPrEx>
          <w:tblCellMar>
            <w:top w:w="0" w:type="dxa"/>
            <w:bottom w:w="0" w:type="dxa"/>
          </w:tblCellMar>
        </w:tblPrEx>
        <w:trPr>
          <w:trHeight w:val="716"/>
        </w:trPr>
        <w:tc>
          <w:tcPr>
            <w:tcW w:w="1691" w:type="pct"/>
          </w:tcPr>
          <w:p w:rsidR="006C5400" w:rsidRDefault="006C5400" w:rsidP="006C5400">
            <w:pPr>
              <w:rPr>
                <w:rFonts w:ascii="Arial" w:hAnsi="Arial" w:cs="Arial"/>
              </w:rPr>
            </w:pPr>
            <w:r w:rsidRPr="006534E6">
              <w:rPr>
                <w:rFonts w:ascii="Arial" w:hAnsi="Arial" w:cs="Arial"/>
              </w:rPr>
              <w:t>Courtenay Avenue (service roads) between Uxbridge Road and Secker Crescent</w:t>
            </w:r>
            <w:r w:rsidR="001E7E86">
              <w:rPr>
                <w:rFonts w:ascii="Arial" w:hAnsi="Arial" w:cs="Arial"/>
              </w:rPr>
              <w:t>,</w:t>
            </w:r>
          </w:p>
          <w:p w:rsidR="006A452A" w:rsidRDefault="006A452A" w:rsidP="006C5400">
            <w:pPr>
              <w:rPr>
                <w:rFonts w:ascii="Arial" w:hAnsi="Arial" w:cs="Arial"/>
              </w:rPr>
            </w:pPr>
            <w:r>
              <w:rPr>
                <w:rFonts w:ascii="Arial" w:hAnsi="Arial" w:cs="Arial"/>
              </w:rPr>
              <w:t>Hatch End &amp; Harrow Weald</w:t>
            </w:r>
          </w:p>
          <w:p w:rsidR="001E7E86" w:rsidRPr="009C54AC" w:rsidRDefault="001E7E86" w:rsidP="006C5400">
            <w:pPr>
              <w:rPr>
                <w:rFonts w:ascii="Arial" w:hAnsi="Arial" w:cs="Arial"/>
              </w:rPr>
            </w:pPr>
          </w:p>
        </w:tc>
        <w:tc>
          <w:tcPr>
            <w:tcW w:w="2899" w:type="pct"/>
          </w:tcPr>
          <w:p w:rsidR="006C5400" w:rsidRDefault="006C5400" w:rsidP="006C5400">
            <w:pPr>
              <w:rPr>
                <w:rFonts w:ascii="Arial" w:hAnsi="Arial" w:cs="Arial"/>
              </w:rPr>
            </w:pPr>
            <w:r>
              <w:rPr>
                <w:rFonts w:ascii="Arial" w:hAnsi="Arial" w:cs="Arial"/>
              </w:rPr>
              <w:t xml:space="preserve">Following informal consultation there </w:t>
            </w:r>
            <w:r w:rsidR="009C64BB">
              <w:rPr>
                <w:rFonts w:ascii="Arial" w:hAnsi="Arial" w:cs="Arial"/>
              </w:rPr>
              <w:t>was</w:t>
            </w:r>
            <w:r>
              <w:rPr>
                <w:rFonts w:ascii="Arial" w:hAnsi="Arial" w:cs="Arial"/>
              </w:rPr>
              <w:t xml:space="preserve"> no support for the introduction of a resident permit scheme.</w:t>
            </w:r>
          </w:p>
          <w:p w:rsidR="006C5400" w:rsidRDefault="006C5400" w:rsidP="006C5400">
            <w:pPr>
              <w:rPr>
                <w:rFonts w:ascii="Arial" w:hAnsi="Arial" w:cs="Arial"/>
              </w:rPr>
            </w:pPr>
            <w:r>
              <w:rPr>
                <w:rFonts w:ascii="Arial" w:hAnsi="Arial" w:cs="Arial"/>
              </w:rPr>
              <w:t xml:space="preserve">It has been agreed to take forward only proposals to introduce no waiting “At any time” restrictions (double yellow lines) </w:t>
            </w:r>
            <w:r w:rsidR="009C64BB">
              <w:rPr>
                <w:rFonts w:ascii="Arial" w:hAnsi="Arial" w:cs="Arial"/>
              </w:rPr>
              <w:t xml:space="preserve">throughout the consultation area </w:t>
            </w:r>
            <w:r>
              <w:rPr>
                <w:rFonts w:ascii="Arial" w:hAnsi="Arial" w:cs="Arial"/>
              </w:rPr>
              <w:t>along narrow sections of the carriageway, bends, junctions and turning heads to address safety/access concerns especially for emergency vehicles which have critical response times</w:t>
            </w:r>
            <w:r w:rsidRPr="009C54AC">
              <w:rPr>
                <w:rFonts w:ascii="Arial" w:hAnsi="Arial" w:cs="Arial"/>
              </w:rPr>
              <w:t>.</w:t>
            </w:r>
          </w:p>
          <w:p w:rsidR="00977CCD" w:rsidRDefault="00977CCD" w:rsidP="006C5400">
            <w:pPr>
              <w:rPr>
                <w:rFonts w:ascii="Arial" w:hAnsi="Arial" w:cs="Arial"/>
              </w:rPr>
            </w:pPr>
          </w:p>
        </w:tc>
        <w:tc>
          <w:tcPr>
            <w:tcW w:w="410" w:type="pct"/>
            <w:shd w:val="clear" w:color="auto" w:fill="auto"/>
          </w:tcPr>
          <w:p w:rsidR="006C5400" w:rsidDel="00023F3E" w:rsidRDefault="00AD35CF" w:rsidP="006C5400">
            <w:pPr>
              <w:jc w:val="center"/>
              <w:rPr>
                <w:rFonts w:ascii="Arial" w:hAnsi="Arial" w:cs="Arial"/>
                <w:b/>
              </w:rPr>
            </w:pPr>
            <w:r>
              <w:rPr>
                <w:rFonts w:ascii="Arial" w:hAnsi="Arial" w:cs="Arial"/>
                <w:b/>
              </w:rPr>
              <w:t>18</w:t>
            </w:r>
          </w:p>
        </w:tc>
      </w:tr>
      <w:tr w:rsidR="00F02CED" w:rsidRPr="009C54AC" w:rsidTr="00AD35CF">
        <w:tblPrEx>
          <w:tblCellMar>
            <w:top w:w="0" w:type="dxa"/>
            <w:bottom w:w="0" w:type="dxa"/>
          </w:tblCellMar>
        </w:tblPrEx>
        <w:trPr>
          <w:trHeight w:val="716"/>
        </w:trPr>
        <w:tc>
          <w:tcPr>
            <w:tcW w:w="1691" w:type="pct"/>
          </w:tcPr>
          <w:p w:rsidR="00F02CED" w:rsidRDefault="00F02CED" w:rsidP="00F02CED">
            <w:pPr>
              <w:rPr>
                <w:rFonts w:ascii="Arial" w:hAnsi="Arial" w:cs="Arial"/>
              </w:rPr>
            </w:pPr>
            <w:r w:rsidRPr="00B12F28">
              <w:rPr>
                <w:rFonts w:ascii="Arial" w:hAnsi="Arial" w:cs="Arial"/>
              </w:rPr>
              <w:t>Northolt Road</w:t>
            </w:r>
            <w:r>
              <w:rPr>
                <w:rFonts w:ascii="Arial" w:hAnsi="Arial" w:cs="Arial"/>
              </w:rPr>
              <w:t xml:space="preserve"> (south east side) between </w:t>
            </w:r>
            <w:r w:rsidRPr="00224DB7">
              <w:rPr>
                <w:rFonts w:ascii="Arial" w:hAnsi="Arial" w:cs="Arial"/>
              </w:rPr>
              <w:t>(345-191</w:t>
            </w:r>
            <w:r>
              <w:rPr>
                <w:rFonts w:ascii="Arial" w:hAnsi="Arial" w:cs="Arial"/>
              </w:rPr>
              <w:t>)</w:t>
            </w:r>
            <w:r w:rsidR="006A452A">
              <w:rPr>
                <w:rFonts w:ascii="Arial" w:hAnsi="Arial" w:cs="Arial"/>
              </w:rPr>
              <w:t>,</w:t>
            </w:r>
          </w:p>
          <w:p w:rsidR="006A452A" w:rsidRPr="009C54AC" w:rsidRDefault="006A452A" w:rsidP="00F02CED">
            <w:pPr>
              <w:rPr>
                <w:rFonts w:ascii="Arial" w:hAnsi="Arial" w:cs="Arial"/>
              </w:rPr>
            </w:pPr>
            <w:proofErr w:type="spellStart"/>
            <w:r>
              <w:rPr>
                <w:rFonts w:ascii="Arial" w:hAnsi="Arial" w:cs="Arial"/>
              </w:rPr>
              <w:t>Roxeth</w:t>
            </w:r>
            <w:proofErr w:type="spellEnd"/>
          </w:p>
        </w:tc>
        <w:tc>
          <w:tcPr>
            <w:tcW w:w="2899" w:type="pct"/>
          </w:tcPr>
          <w:p w:rsidR="00F02CED" w:rsidRDefault="00F02CED" w:rsidP="00F02CED">
            <w:pPr>
              <w:rPr>
                <w:rFonts w:ascii="Arial" w:hAnsi="Arial" w:cs="Arial"/>
              </w:rPr>
            </w:pPr>
            <w:r>
              <w:rPr>
                <w:rFonts w:ascii="Arial" w:hAnsi="Arial" w:cs="Arial"/>
              </w:rPr>
              <w:t xml:space="preserve">Following informal consultation there is support for </w:t>
            </w:r>
            <w:r w:rsidR="009C64BB">
              <w:rPr>
                <w:rFonts w:ascii="Arial" w:hAnsi="Arial" w:cs="Arial"/>
              </w:rPr>
              <w:t xml:space="preserve">the </w:t>
            </w:r>
            <w:r>
              <w:rPr>
                <w:rFonts w:ascii="Arial" w:hAnsi="Arial" w:cs="Arial"/>
              </w:rPr>
              <w:t>introduction of a residents parking scheme along Northolt Road between properties (345-191) with a view to restricting non-resident parking whilst maintaining facilities for residents and local shops/ businesses</w:t>
            </w:r>
            <w:r w:rsidR="009C64BB">
              <w:rPr>
                <w:rFonts w:ascii="Arial" w:hAnsi="Arial" w:cs="Arial"/>
              </w:rPr>
              <w:t xml:space="preserve"> in the form of residents and pay and display bays</w:t>
            </w:r>
            <w:r>
              <w:rPr>
                <w:rFonts w:ascii="Arial" w:hAnsi="Arial" w:cs="Arial"/>
              </w:rPr>
              <w:t xml:space="preserve">. </w:t>
            </w:r>
          </w:p>
          <w:p w:rsidR="00977CCD" w:rsidRDefault="00977CCD" w:rsidP="00F02CED">
            <w:pPr>
              <w:rPr>
                <w:rFonts w:ascii="Arial" w:hAnsi="Arial" w:cs="Arial"/>
              </w:rPr>
            </w:pPr>
          </w:p>
        </w:tc>
        <w:tc>
          <w:tcPr>
            <w:tcW w:w="410" w:type="pct"/>
            <w:shd w:val="clear" w:color="auto" w:fill="auto"/>
          </w:tcPr>
          <w:p w:rsidR="00F02CED" w:rsidDel="00023F3E" w:rsidRDefault="00AD35CF" w:rsidP="00AD35CF">
            <w:pPr>
              <w:jc w:val="center"/>
              <w:rPr>
                <w:rFonts w:ascii="Arial" w:hAnsi="Arial" w:cs="Arial"/>
                <w:b/>
              </w:rPr>
            </w:pPr>
            <w:r>
              <w:rPr>
                <w:rFonts w:ascii="Arial" w:hAnsi="Arial" w:cs="Arial"/>
                <w:b/>
              </w:rPr>
              <w:t>21</w:t>
            </w:r>
          </w:p>
        </w:tc>
      </w:tr>
      <w:tr w:rsidR="007A6E5F" w:rsidRPr="009C54AC" w:rsidTr="00AD35CF">
        <w:tblPrEx>
          <w:tblCellMar>
            <w:top w:w="0" w:type="dxa"/>
            <w:bottom w:w="0" w:type="dxa"/>
          </w:tblCellMar>
        </w:tblPrEx>
        <w:trPr>
          <w:trHeight w:val="716"/>
        </w:trPr>
        <w:tc>
          <w:tcPr>
            <w:tcW w:w="1691" w:type="pct"/>
          </w:tcPr>
          <w:p w:rsidR="007A6E5F" w:rsidRDefault="007A6E5F" w:rsidP="007A6E5F">
            <w:pPr>
              <w:rPr>
                <w:rFonts w:ascii="Arial" w:hAnsi="Arial" w:cs="Arial"/>
              </w:rPr>
            </w:pPr>
            <w:r w:rsidRPr="00B12F28">
              <w:rPr>
                <w:rFonts w:ascii="Arial" w:hAnsi="Arial" w:cs="Arial"/>
              </w:rPr>
              <w:t xml:space="preserve">Roxborough </w:t>
            </w:r>
            <w:r>
              <w:rPr>
                <w:rFonts w:ascii="Arial" w:hAnsi="Arial" w:cs="Arial"/>
              </w:rPr>
              <w:t xml:space="preserve">Avenue, Roxborough Park, </w:t>
            </w:r>
            <w:proofErr w:type="spellStart"/>
            <w:r>
              <w:rPr>
                <w:rFonts w:ascii="Arial" w:hAnsi="Arial" w:cs="Arial"/>
              </w:rPr>
              <w:t>Maxted</w:t>
            </w:r>
            <w:proofErr w:type="spellEnd"/>
            <w:r>
              <w:rPr>
                <w:rFonts w:ascii="Arial" w:hAnsi="Arial" w:cs="Arial"/>
              </w:rPr>
              <w:t xml:space="preserve"> Park, Pickwick Place, Grove Hill and Peterborough Road</w:t>
            </w:r>
            <w:r w:rsidR="006A452A">
              <w:rPr>
                <w:rFonts w:ascii="Arial" w:hAnsi="Arial" w:cs="Arial"/>
              </w:rPr>
              <w:t>,</w:t>
            </w:r>
          </w:p>
          <w:p w:rsidR="006A452A" w:rsidRPr="009C54AC" w:rsidRDefault="006A452A" w:rsidP="006A452A">
            <w:pPr>
              <w:rPr>
                <w:rFonts w:ascii="Arial" w:hAnsi="Arial" w:cs="Arial"/>
              </w:rPr>
            </w:pPr>
            <w:r>
              <w:rPr>
                <w:rFonts w:ascii="Arial" w:hAnsi="Arial" w:cs="Arial"/>
              </w:rPr>
              <w:t>Greenhill</w:t>
            </w:r>
            <w:r w:rsidR="00301B70">
              <w:rPr>
                <w:rFonts w:ascii="Arial" w:hAnsi="Arial" w:cs="Arial"/>
              </w:rPr>
              <w:t xml:space="preserve"> &amp; Harrow on the Hill</w:t>
            </w:r>
          </w:p>
        </w:tc>
        <w:tc>
          <w:tcPr>
            <w:tcW w:w="2899" w:type="pct"/>
          </w:tcPr>
          <w:p w:rsidR="007A6E5F" w:rsidRDefault="007A6E5F" w:rsidP="007A6E5F">
            <w:pPr>
              <w:rPr>
                <w:rFonts w:ascii="Arial" w:hAnsi="Arial" w:cs="Arial"/>
              </w:rPr>
            </w:pPr>
            <w:r>
              <w:rPr>
                <w:rFonts w:ascii="Arial" w:hAnsi="Arial" w:cs="Arial"/>
              </w:rPr>
              <w:t xml:space="preserve">Following informal consultation there is support for </w:t>
            </w:r>
            <w:r w:rsidR="00EF7CE9">
              <w:rPr>
                <w:rFonts w:ascii="Arial" w:hAnsi="Arial" w:cs="Arial"/>
              </w:rPr>
              <w:t>a</w:t>
            </w:r>
            <w:r>
              <w:rPr>
                <w:rFonts w:ascii="Arial" w:hAnsi="Arial" w:cs="Arial"/>
              </w:rPr>
              <w:t xml:space="preserve"> </w:t>
            </w:r>
            <w:r w:rsidR="00EA7BEE">
              <w:rPr>
                <w:rFonts w:ascii="Arial" w:hAnsi="Arial" w:cs="Arial"/>
              </w:rPr>
              <w:t>resident</w:t>
            </w:r>
            <w:r>
              <w:rPr>
                <w:rFonts w:ascii="Arial" w:hAnsi="Arial" w:cs="Arial"/>
              </w:rPr>
              <w:t xml:space="preserve"> permit scheme and the conversion of free bays in Grove</w:t>
            </w:r>
            <w:r w:rsidR="00EF7CE9">
              <w:rPr>
                <w:rFonts w:ascii="Arial" w:hAnsi="Arial" w:cs="Arial"/>
              </w:rPr>
              <w:t xml:space="preserve"> Hill</w:t>
            </w:r>
            <w:r>
              <w:rPr>
                <w:rFonts w:ascii="Arial" w:hAnsi="Arial" w:cs="Arial"/>
              </w:rPr>
              <w:t xml:space="preserve"> and Peterborough Road to shared use bays. This will help remove all day non-resident/commuter in the existing free bays.  Options to be considered are to convert the existing free bays to </w:t>
            </w:r>
            <w:r w:rsidRPr="00BA4109">
              <w:rPr>
                <w:rFonts w:ascii="Arial" w:hAnsi="Arial" w:cs="Arial"/>
              </w:rPr>
              <w:t>shared</w:t>
            </w:r>
            <w:r>
              <w:rPr>
                <w:rFonts w:ascii="Arial" w:hAnsi="Arial" w:cs="Arial"/>
              </w:rPr>
              <w:t xml:space="preserve"> use and or pay and display bays to </w:t>
            </w:r>
            <w:r w:rsidRPr="00BA4109">
              <w:rPr>
                <w:rFonts w:ascii="Arial" w:hAnsi="Arial" w:cs="Arial"/>
              </w:rPr>
              <w:t>allow better use by residents</w:t>
            </w:r>
            <w:r>
              <w:rPr>
                <w:rFonts w:ascii="Arial" w:hAnsi="Arial" w:cs="Arial"/>
              </w:rPr>
              <w:t xml:space="preserve"> and short</w:t>
            </w:r>
            <w:r w:rsidR="009C64BB">
              <w:rPr>
                <w:rFonts w:ascii="Arial" w:hAnsi="Arial" w:cs="Arial"/>
              </w:rPr>
              <w:t>-</w:t>
            </w:r>
            <w:r>
              <w:rPr>
                <w:rFonts w:ascii="Arial" w:hAnsi="Arial" w:cs="Arial"/>
              </w:rPr>
              <w:t>term visitors.</w:t>
            </w:r>
            <w:r w:rsidRPr="00BA4109">
              <w:rPr>
                <w:rFonts w:ascii="Arial" w:hAnsi="Arial" w:cs="Arial"/>
              </w:rPr>
              <w:t xml:space="preserve"> </w:t>
            </w:r>
          </w:p>
        </w:tc>
        <w:tc>
          <w:tcPr>
            <w:tcW w:w="410" w:type="pct"/>
            <w:shd w:val="clear" w:color="auto" w:fill="auto"/>
          </w:tcPr>
          <w:p w:rsidR="007A6E5F" w:rsidDel="00023F3E" w:rsidRDefault="004E022B" w:rsidP="003F64A0">
            <w:pPr>
              <w:jc w:val="center"/>
              <w:rPr>
                <w:rFonts w:ascii="Arial" w:hAnsi="Arial" w:cs="Arial"/>
                <w:b/>
              </w:rPr>
            </w:pPr>
            <w:r>
              <w:rPr>
                <w:rFonts w:ascii="Arial" w:hAnsi="Arial" w:cs="Arial"/>
                <w:b/>
              </w:rPr>
              <w:t>20</w:t>
            </w:r>
          </w:p>
        </w:tc>
      </w:tr>
      <w:tr w:rsidR="00EF7CE9" w:rsidRPr="009C54AC" w:rsidTr="00AD35CF">
        <w:tblPrEx>
          <w:tblCellMar>
            <w:top w:w="0" w:type="dxa"/>
            <w:bottom w:w="0" w:type="dxa"/>
          </w:tblCellMar>
        </w:tblPrEx>
        <w:trPr>
          <w:trHeight w:val="420"/>
        </w:trPr>
        <w:tc>
          <w:tcPr>
            <w:tcW w:w="1691" w:type="pct"/>
          </w:tcPr>
          <w:p w:rsidR="00EF7CE9" w:rsidRDefault="00EF7CE9" w:rsidP="00EF7CE9">
            <w:pPr>
              <w:rPr>
                <w:rFonts w:ascii="Arial" w:hAnsi="Arial" w:cs="Arial"/>
              </w:rPr>
            </w:pPr>
            <w:r>
              <w:rPr>
                <w:rFonts w:ascii="Arial" w:hAnsi="Arial" w:cs="Arial"/>
              </w:rPr>
              <w:lastRenderedPageBreak/>
              <w:t>The Ridgeway Area Parking Review</w:t>
            </w:r>
            <w:r w:rsidR="006A452A">
              <w:rPr>
                <w:rFonts w:ascii="Arial" w:hAnsi="Arial" w:cs="Arial"/>
              </w:rPr>
              <w:t>,</w:t>
            </w:r>
          </w:p>
          <w:p w:rsidR="006A452A" w:rsidRPr="009C54AC" w:rsidRDefault="006A452A" w:rsidP="00EF7CE9">
            <w:pPr>
              <w:rPr>
                <w:rFonts w:ascii="Arial" w:hAnsi="Arial" w:cs="Arial"/>
              </w:rPr>
            </w:pPr>
            <w:r>
              <w:rPr>
                <w:rFonts w:ascii="Arial" w:hAnsi="Arial" w:cs="Arial"/>
              </w:rPr>
              <w:t>Belmont</w:t>
            </w:r>
            <w:r w:rsidR="00301B70">
              <w:rPr>
                <w:rFonts w:ascii="Arial" w:hAnsi="Arial" w:cs="Arial"/>
              </w:rPr>
              <w:t xml:space="preserve"> &amp; Stanmore Park</w:t>
            </w:r>
          </w:p>
        </w:tc>
        <w:tc>
          <w:tcPr>
            <w:tcW w:w="2899" w:type="pct"/>
          </w:tcPr>
          <w:p w:rsidR="00EF7CE9" w:rsidRDefault="00EF7CE9" w:rsidP="00EF7CE9">
            <w:r>
              <w:rPr>
                <w:rFonts w:ascii="Arial" w:hAnsi="Arial" w:cs="Arial"/>
              </w:rPr>
              <w:t xml:space="preserve">Following informal consultation there is support for the introduction of a parking scheme with extended hours of controls to help address problems associated with long term non-residential parking, contributed to by a local car repair business, </w:t>
            </w:r>
            <w:r w:rsidRPr="0086288B">
              <w:rPr>
                <w:rFonts w:ascii="Arial" w:hAnsi="Arial" w:cs="Arial"/>
              </w:rPr>
              <w:t>Stanmore College</w:t>
            </w:r>
            <w:r>
              <w:rPr>
                <w:rFonts w:ascii="Arial" w:hAnsi="Arial" w:cs="Arial"/>
              </w:rPr>
              <w:t xml:space="preserve"> students and a day</w:t>
            </w:r>
            <w:r w:rsidRPr="0086288B">
              <w:rPr>
                <w:rFonts w:ascii="Arial" w:hAnsi="Arial" w:cs="Arial"/>
              </w:rPr>
              <w:t xml:space="preserve"> nursery</w:t>
            </w:r>
            <w:r>
              <w:rPr>
                <w:rFonts w:ascii="Arial" w:hAnsi="Arial" w:cs="Arial"/>
              </w:rPr>
              <w:t>.</w:t>
            </w:r>
            <w:r>
              <w:t xml:space="preserve"> </w:t>
            </w:r>
          </w:p>
          <w:p w:rsidR="00977CCD" w:rsidRDefault="00977CCD" w:rsidP="00EF7CE9">
            <w:pPr>
              <w:rPr>
                <w:rFonts w:ascii="Arial" w:hAnsi="Arial" w:cs="Arial"/>
              </w:rPr>
            </w:pPr>
          </w:p>
        </w:tc>
        <w:tc>
          <w:tcPr>
            <w:tcW w:w="410" w:type="pct"/>
            <w:shd w:val="clear" w:color="auto" w:fill="auto"/>
          </w:tcPr>
          <w:p w:rsidR="00EF7CE9" w:rsidDel="00023F3E" w:rsidRDefault="00AD35CF" w:rsidP="00EF7CE9">
            <w:pPr>
              <w:jc w:val="center"/>
              <w:rPr>
                <w:rFonts w:ascii="Arial" w:hAnsi="Arial" w:cs="Arial"/>
                <w:b/>
              </w:rPr>
            </w:pPr>
            <w:r>
              <w:rPr>
                <w:rFonts w:ascii="Arial" w:hAnsi="Arial" w:cs="Arial"/>
                <w:b/>
              </w:rPr>
              <w:t>35</w:t>
            </w:r>
          </w:p>
        </w:tc>
      </w:tr>
      <w:tr w:rsidR="00EA7BEE" w:rsidRPr="009C54AC" w:rsidTr="00AD35CF">
        <w:tblPrEx>
          <w:tblCellMar>
            <w:top w:w="0" w:type="dxa"/>
            <w:bottom w:w="0" w:type="dxa"/>
          </w:tblCellMar>
        </w:tblPrEx>
        <w:trPr>
          <w:trHeight w:val="716"/>
        </w:trPr>
        <w:tc>
          <w:tcPr>
            <w:tcW w:w="1691" w:type="pct"/>
          </w:tcPr>
          <w:p w:rsidR="00EA7BEE" w:rsidRDefault="00EA7BEE" w:rsidP="00EA7BEE">
            <w:pPr>
              <w:rPr>
                <w:rFonts w:ascii="Arial" w:hAnsi="Arial" w:cs="Arial"/>
              </w:rPr>
            </w:pPr>
            <w:r w:rsidRPr="00B12F28">
              <w:rPr>
                <w:rFonts w:ascii="Arial" w:hAnsi="Arial" w:cs="Arial"/>
              </w:rPr>
              <w:t>Kenton Road</w:t>
            </w:r>
            <w:r>
              <w:rPr>
                <w:rFonts w:ascii="Arial" w:hAnsi="Arial" w:cs="Arial"/>
              </w:rPr>
              <w:t xml:space="preserve"> – service road between 704-738</w:t>
            </w:r>
            <w:r w:rsidR="006A452A">
              <w:rPr>
                <w:rFonts w:ascii="Arial" w:hAnsi="Arial" w:cs="Arial"/>
              </w:rPr>
              <w:t>,</w:t>
            </w:r>
          </w:p>
          <w:p w:rsidR="006A452A" w:rsidRPr="009C54AC" w:rsidRDefault="006A452A" w:rsidP="00EA7BEE">
            <w:pPr>
              <w:rPr>
                <w:rFonts w:ascii="Arial" w:hAnsi="Arial" w:cs="Arial"/>
              </w:rPr>
            </w:pPr>
            <w:r>
              <w:rPr>
                <w:rFonts w:ascii="Arial" w:hAnsi="Arial" w:cs="Arial"/>
              </w:rPr>
              <w:t>Kenton East</w:t>
            </w:r>
          </w:p>
        </w:tc>
        <w:tc>
          <w:tcPr>
            <w:tcW w:w="2899" w:type="pct"/>
          </w:tcPr>
          <w:p w:rsidR="00EA7BEE" w:rsidRDefault="00EA7BEE" w:rsidP="00EA7BEE">
            <w:pPr>
              <w:rPr>
                <w:rFonts w:ascii="Arial" w:hAnsi="Arial" w:cs="Arial"/>
              </w:rPr>
            </w:pPr>
            <w:r w:rsidRPr="00224DB7">
              <w:rPr>
                <w:rFonts w:ascii="Arial" w:hAnsi="Arial" w:cs="Arial"/>
              </w:rPr>
              <w:t>A review of existing parking to investigate options to introduce measures to restrict long term commuter parking in the service road</w:t>
            </w:r>
            <w:r>
              <w:rPr>
                <w:rFonts w:ascii="Arial" w:hAnsi="Arial" w:cs="Arial"/>
              </w:rPr>
              <w:t xml:space="preserve">.  </w:t>
            </w:r>
            <w:r w:rsidRPr="0053146E">
              <w:rPr>
                <w:rFonts w:ascii="Arial" w:hAnsi="Arial" w:cs="Arial"/>
              </w:rPr>
              <w:t>Options to be consid</w:t>
            </w:r>
            <w:r>
              <w:rPr>
                <w:rFonts w:ascii="Arial" w:hAnsi="Arial" w:cs="Arial"/>
              </w:rPr>
              <w:t>ered to include pay and display a</w:t>
            </w:r>
            <w:r w:rsidRPr="0053146E">
              <w:rPr>
                <w:rFonts w:ascii="Arial" w:hAnsi="Arial" w:cs="Arial"/>
              </w:rPr>
              <w:t>nd shared use bays. Undertake surveys, public consultation, statutory notification and implementation</w:t>
            </w:r>
            <w:r w:rsidR="00977CCD">
              <w:rPr>
                <w:rFonts w:ascii="Arial" w:hAnsi="Arial" w:cs="Arial"/>
              </w:rPr>
              <w:t>.</w:t>
            </w:r>
          </w:p>
          <w:p w:rsidR="00977CCD" w:rsidRDefault="00977CCD" w:rsidP="00EA7BEE">
            <w:pPr>
              <w:rPr>
                <w:rFonts w:ascii="Arial" w:hAnsi="Arial" w:cs="Arial"/>
              </w:rPr>
            </w:pPr>
          </w:p>
        </w:tc>
        <w:tc>
          <w:tcPr>
            <w:tcW w:w="410" w:type="pct"/>
            <w:shd w:val="clear" w:color="auto" w:fill="auto"/>
          </w:tcPr>
          <w:p w:rsidR="00EA7BEE" w:rsidDel="00023F3E" w:rsidRDefault="00AD35CF" w:rsidP="00EA7BEE">
            <w:pPr>
              <w:jc w:val="center"/>
              <w:rPr>
                <w:rFonts w:ascii="Arial" w:hAnsi="Arial" w:cs="Arial"/>
                <w:b/>
              </w:rPr>
            </w:pPr>
            <w:r>
              <w:rPr>
                <w:rFonts w:ascii="Arial" w:hAnsi="Arial" w:cs="Arial"/>
                <w:b/>
              </w:rPr>
              <w:t>28</w:t>
            </w:r>
          </w:p>
        </w:tc>
      </w:tr>
      <w:tr w:rsidR="00EA7BEE" w:rsidRPr="007E74AD" w:rsidTr="001E3938">
        <w:tblPrEx>
          <w:tblCellMar>
            <w:top w:w="0" w:type="dxa"/>
            <w:bottom w:w="0" w:type="dxa"/>
          </w:tblCellMar>
        </w:tblPrEx>
        <w:trPr>
          <w:trHeight w:val="425"/>
        </w:trPr>
        <w:tc>
          <w:tcPr>
            <w:tcW w:w="1691" w:type="pct"/>
            <w:shd w:val="clear" w:color="auto" w:fill="D9D9D9"/>
          </w:tcPr>
          <w:p w:rsidR="00EA7BEE" w:rsidRPr="007E74AD" w:rsidRDefault="00EA7BEE" w:rsidP="00EA7BEE">
            <w:pPr>
              <w:rPr>
                <w:rFonts w:ascii="Arial" w:hAnsi="Arial"/>
                <w:b/>
                <w:highlight w:val="yellow"/>
              </w:rPr>
            </w:pPr>
            <w:r w:rsidRPr="003A35B7">
              <w:rPr>
                <w:rFonts w:ascii="Arial" w:hAnsi="Arial"/>
                <w:b/>
              </w:rPr>
              <w:t>Proposed new schemes 20</w:t>
            </w:r>
            <w:r>
              <w:rPr>
                <w:rFonts w:ascii="Arial" w:hAnsi="Arial"/>
                <w:b/>
              </w:rPr>
              <w:t>2</w:t>
            </w:r>
            <w:r w:rsidR="005073A5">
              <w:rPr>
                <w:rFonts w:ascii="Arial" w:hAnsi="Arial"/>
                <w:b/>
              </w:rPr>
              <w:t>1</w:t>
            </w:r>
            <w:r>
              <w:rPr>
                <w:rFonts w:ascii="Arial" w:hAnsi="Arial"/>
                <w:b/>
              </w:rPr>
              <w:t>/2</w:t>
            </w:r>
            <w:r w:rsidR="005073A5">
              <w:rPr>
                <w:rFonts w:ascii="Arial" w:hAnsi="Arial"/>
                <w:b/>
              </w:rPr>
              <w:t>2</w:t>
            </w:r>
          </w:p>
        </w:tc>
        <w:tc>
          <w:tcPr>
            <w:tcW w:w="2899" w:type="pct"/>
            <w:shd w:val="clear" w:color="auto" w:fill="D9D9D9"/>
          </w:tcPr>
          <w:p w:rsidR="00EA7BEE" w:rsidRPr="007E74AD" w:rsidRDefault="00EA7BEE" w:rsidP="00EA7BEE">
            <w:pPr>
              <w:rPr>
                <w:rFonts w:ascii="Arial" w:hAnsi="Arial"/>
                <w:highlight w:val="yellow"/>
              </w:rPr>
            </w:pPr>
          </w:p>
        </w:tc>
        <w:tc>
          <w:tcPr>
            <w:tcW w:w="410" w:type="pct"/>
            <w:shd w:val="clear" w:color="auto" w:fill="D9D9D9"/>
          </w:tcPr>
          <w:p w:rsidR="00EA7BEE" w:rsidRPr="00151370" w:rsidRDefault="00EA7BEE" w:rsidP="00EA7BEE">
            <w:pPr>
              <w:jc w:val="center"/>
              <w:rPr>
                <w:rFonts w:ascii="Arial" w:hAnsi="Arial" w:cs="Arial"/>
                <w:b/>
                <w:color w:val="000000"/>
                <w:highlight w:val="yellow"/>
              </w:rPr>
            </w:pPr>
          </w:p>
        </w:tc>
      </w:tr>
      <w:tr w:rsidR="00771680" w:rsidRPr="007E74AD" w:rsidTr="001E3938">
        <w:tblPrEx>
          <w:tblCellMar>
            <w:top w:w="0" w:type="dxa"/>
            <w:bottom w:w="0" w:type="dxa"/>
          </w:tblCellMar>
        </w:tblPrEx>
        <w:trPr>
          <w:trHeight w:val="425"/>
        </w:trPr>
        <w:tc>
          <w:tcPr>
            <w:tcW w:w="1691" w:type="pct"/>
          </w:tcPr>
          <w:p w:rsidR="00771680" w:rsidRDefault="00771680" w:rsidP="00771680">
            <w:pPr>
              <w:rPr>
                <w:rFonts w:ascii="Arial" w:hAnsi="Arial"/>
              </w:rPr>
            </w:pPr>
            <w:r w:rsidRPr="001E3938">
              <w:rPr>
                <w:rFonts w:ascii="Arial" w:hAnsi="Arial"/>
              </w:rPr>
              <w:t xml:space="preserve">Canterbury </w:t>
            </w:r>
            <w:r w:rsidR="001A5885">
              <w:rPr>
                <w:rFonts w:ascii="Arial" w:hAnsi="Arial"/>
              </w:rPr>
              <w:t>Road</w:t>
            </w:r>
            <w:r w:rsidR="006A452A">
              <w:rPr>
                <w:rFonts w:ascii="Arial" w:hAnsi="Arial"/>
              </w:rPr>
              <w:t>,</w:t>
            </w:r>
          </w:p>
          <w:p w:rsidR="006A452A" w:rsidRPr="001E3938" w:rsidRDefault="006A452A" w:rsidP="00771680">
            <w:pPr>
              <w:rPr>
                <w:rFonts w:ascii="Arial" w:hAnsi="Arial"/>
              </w:rPr>
            </w:pPr>
            <w:r>
              <w:rPr>
                <w:rFonts w:ascii="Arial" w:hAnsi="Arial"/>
              </w:rPr>
              <w:t>Headstone South</w:t>
            </w:r>
          </w:p>
        </w:tc>
        <w:tc>
          <w:tcPr>
            <w:tcW w:w="2899" w:type="pct"/>
          </w:tcPr>
          <w:p w:rsidR="00771680" w:rsidRDefault="00771680" w:rsidP="00771680">
            <w:pPr>
              <w:rPr>
                <w:rFonts w:ascii="Arial" w:hAnsi="Arial" w:cs="Arial"/>
              </w:rPr>
            </w:pPr>
            <w:r w:rsidRPr="00224DB7">
              <w:rPr>
                <w:rFonts w:ascii="Arial" w:hAnsi="Arial" w:cs="Arial"/>
              </w:rPr>
              <w:t xml:space="preserve">Localised review of parking </w:t>
            </w:r>
            <w:r>
              <w:rPr>
                <w:rFonts w:ascii="Arial" w:hAnsi="Arial" w:cs="Arial"/>
              </w:rPr>
              <w:t xml:space="preserve">along uncontrolled section of Canterbury </w:t>
            </w:r>
            <w:r w:rsidR="007820B1">
              <w:rPr>
                <w:rFonts w:ascii="Arial" w:hAnsi="Arial" w:cs="Arial"/>
              </w:rPr>
              <w:t>Road</w:t>
            </w:r>
            <w:r>
              <w:rPr>
                <w:rFonts w:ascii="Arial" w:hAnsi="Arial" w:cs="Arial"/>
              </w:rPr>
              <w:t xml:space="preserve"> between </w:t>
            </w:r>
            <w:r w:rsidR="0018447F">
              <w:rPr>
                <w:rFonts w:ascii="Arial" w:hAnsi="Arial" w:cs="Arial"/>
              </w:rPr>
              <w:t>Durham Road and Pinner View</w:t>
            </w:r>
            <w:r>
              <w:rPr>
                <w:rFonts w:ascii="Arial" w:hAnsi="Arial" w:cs="Arial"/>
              </w:rPr>
              <w:t xml:space="preserve"> with a view to </w:t>
            </w:r>
            <w:r w:rsidR="0018447F">
              <w:rPr>
                <w:rFonts w:ascii="Arial" w:hAnsi="Arial" w:cs="Arial"/>
              </w:rPr>
              <w:t xml:space="preserve">extending the existing zone (NH1) to include all of Canterbury Road. </w:t>
            </w:r>
            <w:r w:rsidRPr="00224DB7">
              <w:rPr>
                <w:rFonts w:ascii="Arial" w:hAnsi="Arial" w:cs="Arial"/>
              </w:rPr>
              <w:t>Undertake surveys, public consultation, statutory notification and implementation</w:t>
            </w:r>
            <w:r w:rsidR="00977CCD">
              <w:rPr>
                <w:rFonts w:ascii="Arial" w:hAnsi="Arial" w:cs="Arial"/>
              </w:rPr>
              <w:t>.</w:t>
            </w:r>
          </w:p>
          <w:p w:rsidR="00977CCD" w:rsidRPr="007E74AD" w:rsidRDefault="00977CCD" w:rsidP="00771680">
            <w:pPr>
              <w:rPr>
                <w:rFonts w:ascii="Arial" w:hAnsi="Arial"/>
                <w:highlight w:val="yellow"/>
              </w:rPr>
            </w:pPr>
          </w:p>
        </w:tc>
        <w:tc>
          <w:tcPr>
            <w:tcW w:w="410" w:type="pct"/>
            <w:shd w:val="clear" w:color="auto" w:fill="auto"/>
          </w:tcPr>
          <w:p w:rsidR="00771680" w:rsidRPr="001E3938" w:rsidRDefault="00AD35CF" w:rsidP="00771680">
            <w:pPr>
              <w:jc w:val="center"/>
              <w:rPr>
                <w:rFonts w:ascii="Arial" w:hAnsi="Arial" w:cs="Arial"/>
                <w:b/>
                <w:color w:val="000000"/>
              </w:rPr>
            </w:pPr>
            <w:r>
              <w:rPr>
                <w:rFonts w:ascii="Arial" w:hAnsi="Arial" w:cs="Arial"/>
                <w:b/>
                <w:color w:val="000000"/>
              </w:rPr>
              <w:t>37</w:t>
            </w:r>
          </w:p>
        </w:tc>
      </w:tr>
      <w:tr w:rsidR="00771680" w:rsidRPr="007E74AD" w:rsidTr="001E3938">
        <w:tblPrEx>
          <w:tblCellMar>
            <w:top w:w="0" w:type="dxa"/>
            <w:bottom w:w="0" w:type="dxa"/>
          </w:tblCellMar>
        </w:tblPrEx>
        <w:trPr>
          <w:trHeight w:val="425"/>
        </w:trPr>
        <w:tc>
          <w:tcPr>
            <w:tcW w:w="1691" w:type="pct"/>
            <w:shd w:val="clear" w:color="auto" w:fill="auto"/>
          </w:tcPr>
          <w:p w:rsidR="00771680" w:rsidRDefault="00771680" w:rsidP="00771680">
            <w:pPr>
              <w:rPr>
                <w:rFonts w:ascii="Arial" w:hAnsi="Arial"/>
              </w:rPr>
            </w:pPr>
            <w:r w:rsidRPr="001E3938">
              <w:rPr>
                <w:rFonts w:ascii="Arial" w:hAnsi="Arial"/>
              </w:rPr>
              <w:t>Chantry Road</w:t>
            </w:r>
            <w:r w:rsidR="006A452A">
              <w:rPr>
                <w:rFonts w:ascii="Arial" w:hAnsi="Arial"/>
              </w:rPr>
              <w:t>,</w:t>
            </w:r>
          </w:p>
          <w:p w:rsidR="006A452A" w:rsidRPr="001E3938" w:rsidRDefault="006A452A" w:rsidP="00771680">
            <w:pPr>
              <w:rPr>
                <w:rFonts w:ascii="Arial" w:hAnsi="Arial"/>
              </w:rPr>
            </w:pPr>
            <w:r>
              <w:rPr>
                <w:rFonts w:ascii="Arial" w:hAnsi="Arial"/>
              </w:rPr>
              <w:t>Hatch End</w:t>
            </w:r>
          </w:p>
        </w:tc>
        <w:tc>
          <w:tcPr>
            <w:tcW w:w="2899" w:type="pct"/>
            <w:shd w:val="clear" w:color="auto" w:fill="auto"/>
          </w:tcPr>
          <w:p w:rsidR="00771680" w:rsidRPr="007E74AD" w:rsidRDefault="0018447F" w:rsidP="00771680">
            <w:pPr>
              <w:rPr>
                <w:rFonts w:ascii="Arial" w:hAnsi="Arial"/>
                <w:highlight w:val="yellow"/>
              </w:rPr>
            </w:pPr>
            <w:r w:rsidRPr="0018447F">
              <w:rPr>
                <w:rFonts w:ascii="Arial" w:hAnsi="Arial"/>
              </w:rPr>
              <w:t xml:space="preserve">Localised review of parking </w:t>
            </w:r>
            <w:r w:rsidR="00AA7D36">
              <w:rPr>
                <w:rFonts w:ascii="Arial" w:hAnsi="Arial"/>
              </w:rPr>
              <w:t>with a view to extending the existing zone (Z) to include all of Chantry Place and Chantry Road.</w:t>
            </w:r>
            <w:r w:rsidRPr="0018447F">
              <w:rPr>
                <w:rFonts w:ascii="Arial" w:hAnsi="Arial"/>
              </w:rPr>
              <w:t xml:space="preserve"> Undertake surveys, public consultation, statutory notification and implementation</w:t>
            </w:r>
            <w:r w:rsidR="00977CCD">
              <w:rPr>
                <w:rFonts w:ascii="Arial" w:hAnsi="Arial"/>
              </w:rPr>
              <w:t>.</w:t>
            </w:r>
          </w:p>
        </w:tc>
        <w:tc>
          <w:tcPr>
            <w:tcW w:w="410" w:type="pct"/>
            <w:shd w:val="clear" w:color="auto" w:fill="auto"/>
          </w:tcPr>
          <w:p w:rsidR="00771680" w:rsidRPr="001E3938" w:rsidRDefault="00AD35CF" w:rsidP="00771680">
            <w:pPr>
              <w:jc w:val="center"/>
              <w:rPr>
                <w:rFonts w:ascii="Arial" w:hAnsi="Arial" w:cs="Arial"/>
                <w:b/>
                <w:color w:val="000000"/>
              </w:rPr>
            </w:pPr>
            <w:r>
              <w:rPr>
                <w:rFonts w:ascii="Arial" w:hAnsi="Arial" w:cs="Arial"/>
                <w:b/>
                <w:color w:val="000000"/>
              </w:rPr>
              <w:t>24</w:t>
            </w:r>
          </w:p>
        </w:tc>
      </w:tr>
      <w:tr w:rsidR="001E7E86" w:rsidRPr="009B7A37" w:rsidTr="001E3938">
        <w:tblPrEx>
          <w:tblCellMar>
            <w:top w:w="0" w:type="dxa"/>
            <w:bottom w:w="0" w:type="dxa"/>
          </w:tblCellMar>
        </w:tblPrEx>
        <w:trPr>
          <w:trHeight w:val="355"/>
        </w:trPr>
        <w:tc>
          <w:tcPr>
            <w:tcW w:w="1691" w:type="pct"/>
          </w:tcPr>
          <w:p w:rsidR="001E7E86" w:rsidRDefault="001E7E86" w:rsidP="00771680">
            <w:pPr>
              <w:rPr>
                <w:rFonts w:ascii="Arial" w:hAnsi="Arial"/>
              </w:rPr>
            </w:pPr>
            <w:r w:rsidRPr="001E7E86">
              <w:rPr>
                <w:rFonts w:ascii="Arial" w:hAnsi="Arial"/>
              </w:rPr>
              <w:t>Eastleigh Avenue</w:t>
            </w:r>
            <w:r w:rsidR="006A452A">
              <w:rPr>
                <w:rFonts w:ascii="Arial" w:hAnsi="Arial"/>
              </w:rPr>
              <w:t>,</w:t>
            </w:r>
          </w:p>
          <w:p w:rsidR="006A452A" w:rsidRPr="007D25B2" w:rsidRDefault="006A452A" w:rsidP="00771680">
            <w:pPr>
              <w:rPr>
                <w:rFonts w:ascii="Arial" w:hAnsi="Arial"/>
              </w:rPr>
            </w:pPr>
            <w:proofErr w:type="spellStart"/>
            <w:r>
              <w:rPr>
                <w:rFonts w:ascii="Arial" w:hAnsi="Arial"/>
              </w:rPr>
              <w:t>Roxbourne</w:t>
            </w:r>
            <w:proofErr w:type="spellEnd"/>
          </w:p>
        </w:tc>
        <w:tc>
          <w:tcPr>
            <w:tcW w:w="2899" w:type="pct"/>
          </w:tcPr>
          <w:p w:rsidR="001E7E86" w:rsidRPr="009B7A37" w:rsidRDefault="00301B70" w:rsidP="00771680">
            <w:pPr>
              <w:rPr>
                <w:rFonts w:ascii="Arial" w:hAnsi="Arial"/>
                <w:color w:val="000000"/>
              </w:rPr>
            </w:pPr>
            <w:r w:rsidRPr="00301B70">
              <w:rPr>
                <w:rFonts w:ascii="Arial" w:hAnsi="Arial"/>
                <w:color w:val="000000"/>
              </w:rPr>
              <w:t>Following on from a previous petition, the Council continues to receive correspondence from residents and via Gareth Thomas MP regarding inconsiderate and obstructive parking that may compromise emergency services access to Eastleigh Avenue. Residents request the investigation of proposals to address these issues.  Options to be considered will include a new CPZ with residents parking and no waiting “At any time” restrictions (double yellow lines).</w:t>
            </w:r>
          </w:p>
        </w:tc>
        <w:tc>
          <w:tcPr>
            <w:tcW w:w="410" w:type="pct"/>
          </w:tcPr>
          <w:p w:rsidR="001E7E86" w:rsidRDefault="002669D4" w:rsidP="00771680">
            <w:pPr>
              <w:jc w:val="center"/>
              <w:rPr>
                <w:rFonts w:ascii="Arial" w:hAnsi="Arial" w:cs="Arial"/>
                <w:b/>
                <w:color w:val="000000"/>
              </w:rPr>
            </w:pPr>
            <w:r>
              <w:rPr>
                <w:rFonts w:ascii="Arial" w:hAnsi="Arial" w:cs="Arial"/>
                <w:b/>
                <w:color w:val="000000"/>
              </w:rPr>
              <w:t>20</w:t>
            </w:r>
          </w:p>
        </w:tc>
      </w:tr>
      <w:tr w:rsidR="001E7E86" w:rsidRPr="009B7A37" w:rsidTr="001E3938">
        <w:tblPrEx>
          <w:tblCellMar>
            <w:top w:w="0" w:type="dxa"/>
            <w:bottom w:w="0" w:type="dxa"/>
          </w:tblCellMar>
        </w:tblPrEx>
        <w:trPr>
          <w:trHeight w:val="355"/>
        </w:trPr>
        <w:tc>
          <w:tcPr>
            <w:tcW w:w="1691" w:type="pct"/>
          </w:tcPr>
          <w:p w:rsidR="001E7E86" w:rsidRDefault="00301B70" w:rsidP="00771680">
            <w:pPr>
              <w:rPr>
                <w:rFonts w:ascii="Arial" w:hAnsi="Arial"/>
              </w:rPr>
            </w:pPr>
            <w:r w:rsidRPr="00301B70">
              <w:rPr>
                <w:rFonts w:ascii="Arial" w:hAnsi="Arial"/>
              </w:rPr>
              <w:t>Churchill Road, Gresham Road and Montgomery Road</w:t>
            </w:r>
            <w:r>
              <w:rPr>
                <w:rFonts w:ascii="Arial" w:hAnsi="Arial"/>
              </w:rPr>
              <w:t>,</w:t>
            </w:r>
          </w:p>
          <w:p w:rsidR="00301B70" w:rsidRPr="007D25B2" w:rsidRDefault="00301B70" w:rsidP="00771680">
            <w:pPr>
              <w:rPr>
                <w:rFonts w:ascii="Arial" w:hAnsi="Arial"/>
              </w:rPr>
            </w:pPr>
            <w:r>
              <w:rPr>
                <w:rFonts w:ascii="Arial" w:hAnsi="Arial"/>
              </w:rPr>
              <w:t>Canons</w:t>
            </w:r>
          </w:p>
        </w:tc>
        <w:tc>
          <w:tcPr>
            <w:tcW w:w="2899" w:type="pct"/>
          </w:tcPr>
          <w:p w:rsidR="001E7E86" w:rsidRPr="009B7A37" w:rsidRDefault="00301B70" w:rsidP="00771680">
            <w:pPr>
              <w:rPr>
                <w:rFonts w:ascii="Arial" w:hAnsi="Arial"/>
                <w:color w:val="000000"/>
              </w:rPr>
            </w:pPr>
            <w:r w:rsidRPr="00301B70">
              <w:rPr>
                <w:rFonts w:ascii="Arial" w:hAnsi="Arial"/>
                <w:color w:val="000000"/>
              </w:rPr>
              <w:t>Residents have raised concerns that inconsiderate parking in the evenings associated with local nightclubs is both creating obstruction to traffic and is preventing residents parking near their homes.  The Council has received a petition and letters from residents requesting a change in the operational hours of the existing CPZ to address these problems.</w:t>
            </w:r>
          </w:p>
        </w:tc>
        <w:tc>
          <w:tcPr>
            <w:tcW w:w="410" w:type="pct"/>
          </w:tcPr>
          <w:p w:rsidR="001E7E86" w:rsidRDefault="004E022B" w:rsidP="00771680">
            <w:pPr>
              <w:jc w:val="center"/>
              <w:rPr>
                <w:rFonts w:ascii="Arial" w:hAnsi="Arial" w:cs="Arial"/>
                <w:b/>
                <w:color w:val="000000"/>
              </w:rPr>
            </w:pPr>
            <w:r>
              <w:rPr>
                <w:rFonts w:ascii="Arial" w:hAnsi="Arial" w:cs="Arial"/>
                <w:b/>
                <w:color w:val="000000"/>
              </w:rPr>
              <w:t>32</w:t>
            </w:r>
          </w:p>
        </w:tc>
      </w:tr>
      <w:tr w:rsidR="00771680" w:rsidRPr="009B7A37" w:rsidTr="001E3938">
        <w:tblPrEx>
          <w:tblCellMar>
            <w:top w:w="0" w:type="dxa"/>
            <w:bottom w:w="0" w:type="dxa"/>
          </w:tblCellMar>
        </w:tblPrEx>
        <w:trPr>
          <w:trHeight w:val="355"/>
        </w:trPr>
        <w:tc>
          <w:tcPr>
            <w:tcW w:w="1691" w:type="pct"/>
          </w:tcPr>
          <w:p w:rsidR="00771680" w:rsidRPr="007D25B2" w:rsidRDefault="00771680" w:rsidP="00771680">
            <w:pPr>
              <w:rPr>
                <w:rFonts w:ascii="Arial" w:hAnsi="Arial"/>
              </w:rPr>
            </w:pPr>
            <w:r w:rsidRPr="007D25B2">
              <w:rPr>
                <w:rFonts w:ascii="Arial" w:hAnsi="Arial"/>
              </w:rPr>
              <w:t>Local Safety Parking Schemes Programme</w:t>
            </w:r>
          </w:p>
        </w:tc>
        <w:tc>
          <w:tcPr>
            <w:tcW w:w="2899" w:type="pct"/>
          </w:tcPr>
          <w:p w:rsidR="00771680" w:rsidRPr="009B7A37" w:rsidRDefault="00771680" w:rsidP="00771680">
            <w:pPr>
              <w:rPr>
                <w:rFonts w:ascii="Arial" w:hAnsi="Arial"/>
                <w:color w:val="000000"/>
              </w:rPr>
            </w:pPr>
            <w:r w:rsidRPr="009B7A37">
              <w:rPr>
                <w:rFonts w:ascii="Arial" w:hAnsi="Arial"/>
                <w:color w:val="000000"/>
              </w:rPr>
              <w:t>On-going programme of localised parking controls</w:t>
            </w:r>
          </w:p>
        </w:tc>
        <w:tc>
          <w:tcPr>
            <w:tcW w:w="410" w:type="pct"/>
          </w:tcPr>
          <w:p w:rsidR="00771680" w:rsidRPr="007D25B2" w:rsidRDefault="001216E1" w:rsidP="00771680">
            <w:pPr>
              <w:jc w:val="center"/>
              <w:rPr>
                <w:rFonts w:ascii="Arial" w:hAnsi="Arial" w:cs="Arial"/>
                <w:b/>
                <w:color w:val="000000"/>
              </w:rPr>
            </w:pPr>
            <w:r>
              <w:rPr>
                <w:rFonts w:ascii="Arial" w:hAnsi="Arial" w:cs="Arial"/>
                <w:b/>
                <w:color w:val="000000"/>
              </w:rPr>
              <w:t>25</w:t>
            </w:r>
          </w:p>
          <w:p w:rsidR="00771680" w:rsidRPr="007D25B2" w:rsidRDefault="00771680" w:rsidP="00771680">
            <w:pPr>
              <w:jc w:val="center"/>
              <w:rPr>
                <w:rFonts w:ascii="Arial" w:hAnsi="Arial" w:cs="Arial"/>
                <w:b/>
                <w:color w:val="000000"/>
              </w:rPr>
            </w:pPr>
          </w:p>
        </w:tc>
      </w:tr>
      <w:tr w:rsidR="00771680" w:rsidRPr="009B7A37" w:rsidTr="001E3938">
        <w:tblPrEx>
          <w:tblCellMar>
            <w:top w:w="0" w:type="dxa"/>
            <w:bottom w:w="0" w:type="dxa"/>
          </w:tblCellMar>
        </w:tblPrEx>
        <w:trPr>
          <w:trHeight w:val="473"/>
        </w:trPr>
        <w:tc>
          <w:tcPr>
            <w:tcW w:w="1691" w:type="pct"/>
            <w:shd w:val="clear" w:color="auto" w:fill="D9D9D9"/>
          </w:tcPr>
          <w:p w:rsidR="00771680" w:rsidRPr="009B7A37" w:rsidRDefault="00771680" w:rsidP="00771680">
            <w:pPr>
              <w:pStyle w:val="Heading1"/>
              <w:autoSpaceDE/>
              <w:autoSpaceDN/>
              <w:adjustRightInd/>
            </w:pPr>
            <w:r w:rsidRPr="009B7A37">
              <w:t>Total</w:t>
            </w:r>
          </w:p>
        </w:tc>
        <w:tc>
          <w:tcPr>
            <w:tcW w:w="2899" w:type="pct"/>
            <w:shd w:val="clear" w:color="auto" w:fill="D9D9D9"/>
          </w:tcPr>
          <w:p w:rsidR="00771680" w:rsidRPr="009B7A37" w:rsidRDefault="00771680" w:rsidP="00771680">
            <w:pPr>
              <w:spacing w:line="360" w:lineRule="auto"/>
              <w:rPr>
                <w:rFonts w:ascii="Arial" w:hAnsi="Arial"/>
                <w:b/>
              </w:rPr>
            </w:pPr>
          </w:p>
        </w:tc>
        <w:tc>
          <w:tcPr>
            <w:tcW w:w="410" w:type="pct"/>
            <w:shd w:val="clear" w:color="auto" w:fill="D9D9D9"/>
          </w:tcPr>
          <w:p w:rsidR="00771680" w:rsidRPr="00151370" w:rsidRDefault="00A2108A" w:rsidP="00771680">
            <w:pPr>
              <w:spacing w:line="360" w:lineRule="auto"/>
              <w:jc w:val="center"/>
              <w:rPr>
                <w:rFonts w:ascii="Arial" w:hAnsi="Arial" w:cs="Arial"/>
                <w:b/>
              </w:rPr>
            </w:pPr>
            <w:r>
              <w:rPr>
                <w:rFonts w:ascii="Arial" w:hAnsi="Arial" w:cs="Arial"/>
                <w:b/>
              </w:rPr>
              <w:t>300</w:t>
            </w:r>
          </w:p>
        </w:tc>
      </w:tr>
    </w:tbl>
    <w:p w:rsidR="009D136B" w:rsidRPr="009B7A37" w:rsidRDefault="009D136B" w:rsidP="009D136B">
      <w:pPr>
        <w:ind w:left="-142"/>
        <w:rPr>
          <w:rFonts w:ascii="Arial" w:hAnsi="Arial"/>
          <w:bCs/>
        </w:rPr>
      </w:pPr>
    </w:p>
    <w:p w:rsidR="00AC447B" w:rsidRDefault="00AC447B" w:rsidP="000D2D87">
      <w:pPr>
        <w:ind w:right="-853"/>
      </w:pPr>
      <w:bookmarkStart w:id="1" w:name="_GoBack"/>
      <w:bookmarkEnd w:id="1"/>
    </w:p>
    <w:sectPr w:rsidR="00AC447B" w:rsidSect="001E393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4D3" w:rsidRDefault="008924D3">
      <w:r>
        <w:separator/>
      </w:r>
    </w:p>
  </w:endnote>
  <w:endnote w:type="continuationSeparator" w:id="0">
    <w:p w:rsidR="008924D3" w:rsidRDefault="0089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4D3" w:rsidRDefault="008924D3">
      <w:r>
        <w:separator/>
      </w:r>
    </w:p>
  </w:footnote>
  <w:footnote w:type="continuationSeparator" w:id="0">
    <w:p w:rsidR="008924D3" w:rsidRDefault="00892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142AD"/>
    <w:multiLevelType w:val="hybridMultilevel"/>
    <w:tmpl w:val="346A0FDC"/>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6B"/>
    <w:rsid w:val="00004475"/>
    <w:rsid w:val="00010AC9"/>
    <w:rsid w:val="0001426F"/>
    <w:rsid w:val="00015579"/>
    <w:rsid w:val="000202A5"/>
    <w:rsid w:val="0002190F"/>
    <w:rsid w:val="0002374F"/>
    <w:rsid w:val="00023F3E"/>
    <w:rsid w:val="00025E99"/>
    <w:rsid w:val="00027A7B"/>
    <w:rsid w:val="00046479"/>
    <w:rsid w:val="0007464F"/>
    <w:rsid w:val="00082B05"/>
    <w:rsid w:val="00094035"/>
    <w:rsid w:val="000964C8"/>
    <w:rsid w:val="00096C89"/>
    <w:rsid w:val="000A0D5F"/>
    <w:rsid w:val="000A1840"/>
    <w:rsid w:val="000B5690"/>
    <w:rsid w:val="000B6E5C"/>
    <w:rsid w:val="000C3D08"/>
    <w:rsid w:val="000C6F78"/>
    <w:rsid w:val="000C7A2B"/>
    <w:rsid w:val="000D2D87"/>
    <w:rsid w:val="000D73CD"/>
    <w:rsid w:val="000E3A69"/>
    <w:rsid w:val="000E547B"/>
    <w:rsid w:val="000E79F1"/>
    <w:rsid w:val="000F517A"/>
    <w:rsid w:val="000F60A3"/>
    <w:rsid w:val="001007E4"/>
    <w:rsid w:val="001012CC"/>
    <w:rsid w:val="00103E16"/>
    <w:rsid w:val="001070CC"/>
    <w:rsid w:val="00111C0A"/>
    <w:rsid w:val="0011309A"/>
    <w:rsid w:val="00120C11"/>
    <w:rsid w:val="001216E1"/>
    <w:rsid w:val="00122956"/>
    <w:rsid w:val="00125FD5"/>
    <w:rsid w:val="0012615C"/>
    <w:rsid w:val="00130304"/>
    <w:rsid w:val="00131F16"/>
    <w:rsid w:val="0013366D"/>
    <w:rsid w:val="00134680"/>
    <w:rsid w:val="00141915"/>
    <w:rsid w:val="00144B1F"/>
    <w:rsid w:val="0014678B"/>
    <w:rsid w:val="00151370"/>
    <w:rsid w:val="00156354"/>
    <w:rsid w:val="00160FC7"/>
    <w:rsid w:val="001627CD"/>
    <w:rsid w:val="00164518"/>
    <w:rsid w:val="00175692"/>
    <w:rsid w:val="0018447F"/>
    <w:rsid w:val="00185759"/>
    <w:rsid w:val="001A5885"/>
    <w:rsid w:val="001B32C6"/>
    <w:rsid w:val="001B753A"/>
    <w:rsid w:val="001C34B2"/>
    <w:rsid w:val="001D0891"/>
    <w:rsid w:val="001D22F7"/>
    <w:rsid w:val="001E3938"/>
    <w:rsid w:val="001E522C"/>
    <w:rsid w:val="001E7E86"/>
    <w:rsid w:val="001F2538"/>
    <w:rsid w:val="00217297"/>
    <w:rsid w:val="002177ED"/>
    <w:rsid w:val="00221A4D"/>
    <w:rsid w:val="00224DB7"/>
    <w:rsid w:val="0023205B"/>
    <w:rsid w:val="0023301B"/>
    <w:rsid w:val="002474F3"/>
    <w:rsid w:val="0025651D"/>
    <w:rsid w:val="00262810"/>
    <w:rsid w:val="002669D4"/>
    <w:rsid w:val="00295E0B"/>
    <w:rsid w:val="00296E95"/>
    <w:rsid w:val="002A074F"/>
    <w:rsid w:val="002A3717"/>
    <w:rsid w:val="002A3818"/>
    <w:rsid w:val="002B22D0"/>
    <w:rsid w:val="002B4F78"/>
    <w:rsid w:val="002B7F15"/>
    <w:rsid w:val="002C03AB"/>
    <w:rsid w:val="002C3510"/>
    <w:rsid w:val="002C59FB"/>
    <w:rsid w:val="002D6D11"/>
    <w:rsid w:val="002E335D"/>
    <w:rsid w:val="002F1347"/>
    <w:rsid w:val="002F2923"/>
    <w:rsid w:val="002F2B63"/>
    <w:rsid w:val="002F2CE2"/>
    <w:rsid w:val="002F751F"/>
    <w:rsid w:val="00301B70"/>
    <w:rsid w:val="0030207A"/>
    <w:rsid w:val="00315827"/>
    <w:rsid w:val="003229AC"/>
    <w:rsid w:val="00330856"/>
    <w:rsid w:val="0033143B"/>
    <w:rsid w:val="00331CFA"/>
    <w:rsid w:val="00340BFE"/>
    <w:rsid w:val="0034107A"/>
    <w:rsid w:val="00341971"/>
    <w:rsid w:val="0034295B"/>
    <w:rsid w:val="003442A0"/>
    <w:rsid w:val="003442CD"/>
    <w:rsid w:val="0035027F"/>
    <w:rsid w:val="00350339"/>
    <w:rsid w:val="0035417C"/>
    <w:rsid w:val="00354678"/>
    <w:rsid w:val="00355530"/>
    <w:rsid w:val="00362BE2"/>
    <w:rsid w:val="003634C0"/>
    <w:rsid w:val="00365348"/>
    <w:rsid w:val="0036538C"/>
    <w:rsid w:val="00367EAA"/>
    <w:rsid w:val="00372CF9"/>
    <w:rsid w:val="00372FF7"/>
    <w:rsid w:val="00377D6B"/>
    <w:rsid w:val="003A21D2"/>
    <w:rsid w:val="003A35B7"/>
    <w:rsid w:val="003B1591"/>
    <w:rsid w:val="003C3CBD"/>
    <w:rsid w:val="003C4A6A"/>
    <w:rsid w:val="003D4150"/>
    <w:rsid w:val="003D48D0"/>
    <w:rsid w:val="003D5D56"/>
    <w:rsid w:val="003D747A"/>
    <w:rsid w:val="003E6768"/>
    <w:rsid w:val="003F64A0"/>
    <w:rsid w:val="00403A5B"/>
    <w:rsid w:val="0040675A"/>
    <w:rsid w:val="004258E1"/>
    <w:rsid w:val="00426797"/>
    <w:rsid w:val="00442391"/>
    <w:rsid w:val="00445C87"/>
    <w:rsid w:val="00453F2B"/>
    <w:rsid w:val="004557DD"/>
    <w:rsid w:val="00461AD0"/>
    <w:rsid w:val="00470969"/>
    <w:rsid w:val="0047200F"/>
    <w:rsid w:val="00472037"/>
    <w:rsid w:val="004731D9"/>
    <w:rsid w:val="004757A4"/>
    <w:rsid w:val="00484256"/>
    <w:rsid w:val="00496E3F"/>
    <w:rsid w:val="004B0443"/>
    <w:rsid w:val="004B1D4C"/>
    <w:rsid w:val="004D512C"/>
    <w:rsid w:val="004D5C12"/>
    <w:rsid w:val="004D5FCF"/>
    <w:rsid w:val="004D6C19"/>
    <w:rsid w:val="004D6D47"/>
    <w:rsid w:val="004E022B"/>
    <w:rsid w:val="004E6030"/>
    <w:rsid w:val="004E7106"/>
    <w:rsid w:val="004F1DA2"/>
    <w:rsid w:val="00502D5B"/>
    <w:rsid w:val="005073A5"/>
    <w:rsid w:val="00513CE4"/>
    <w:rsid w:val="00513E65"/>
    <w:rsid w:val="005269DE"/>
    <w:rsid w:val="0053146E"/>
    <w:rsid w:val="005332AE"/>
    <w:rsid w:val="00534FB7"/>
    <w:rsid w:val="005360E9"/>
    <w:rsid w:val="00536969"/>
    <w:rsid w:val="00537161"/>
    <w:rsid w:val="0054026A"/>
    <w:rsid w:val="0054082D"/>
    <w:rsid w:val="00543D13"/>
    <w:rsid w:val="00544BBC"/>
    <w:rsid w:val="00552816"/>
    <w:rsid w:val="00557817"/>
    <w:rsid w:val="00560C24"/>
    <w:rsid w:val="00562187"/>
    <w:rsid w:val="00562902"/>
    <w:rsid w:val="005660B0"/>
    <w:rsid w:val="00575AAB"/>
    <w:rsid w:val="0058275C"/>
    <w:rsid w:val="00583474"/>
    <w:rsid w:val="00595595"/>
    <w:rsid w:val="005A0AE2"/>
    <w:rsid w:val="005B0533"/>
    <w:rsid w:val="005B5ABC"/>
    <w:rsid w:val="005B6E6D"/>
    <w:rsid w:val="005D29FB"/>
    <w:rsid w:val="005D72A1"/>
    <w:rsid w:val="005F028C"/>
    <w:rsid w:val="005F2E47"/>
    <w:rsid w:val="0060092A"/>
    <w:rsid w:val="00603BA1"/>
    <w:rsid w:val="00612192"/>
    <w:rsid w:val="006145F8"/>
    <w:rsid w:val="00630124"/>
    <w:rsid w:val="00630E21"/>
    <w:rsid w:val="00637C74"/>
    <w:rsid w:val="00641B5E"/>
    <w:rsid w:val="006534E6"/>
    <w:rsid w:val="006573A6"/>
    <w:rsid w:val="006602DB"/>
    <w:rsid w:val="006614B8"/>
    <w:rsid w:val="00661BB6"/>
    <w:rsid w:val="0066213B"/>
    <w:rsid w:val="00666417"/>
    <w:rsid w:val="00674F10"/>
    <w:rsid w:val="00690C41"/>
    <w:rsid w:val="006A0DC4"/>
    <w:rsid w:val="006A452A"/>
    <w:rsid w:val="006A7418"/>
    <w:rsid w:val="006C05AC"/>
    <w:rsid w:val="006C2CF2"/>
    <w:rsid w:val="006C5400"/>
    <w:rsid w:val="006C5ABD"/>
    <w:rsid w:val="006C7DCE"/>
    <w:rsid w:val="006D7E59"/>
    <w:rsid w:val="006E427F"/>
    <w:rsid w:val="006F3769"/>
    <w:rsid w:val="006F5F40"/>
    <w:rsid w:val="00700DE6"/>
    <w:rsid w:val="00703A94"/>
    <w:rsid w:val="007053DE"/>
    <w:rsid w:val="00714F1F"/>
    <w:rsid w:val="00722DBA"/>
    <w:rsid w:val="0073297E"/>
    <w:rsid w:val="00737F35"/>
    <w:rsid w:val="00740BBE"/>
    <w:rsid w:val="007436E3"/>
    <w:rsid w:val="00751EE8"/>
    <w:rsid w:val="007525D4"/>
    <w:rsid w:val="007544BE"/>
    <w:rsid w:val="00756804"/>
    <w:rsid w:val="00760443"/>
    <w:rsid w:val="00760F58"/>
    <w:rsid w:val="00764439"/>
    <w:rsid w:val="00770DC6"/>
    <w:rsid w:val="00771680"/>
    <w:rsid w:val="00774AF0"/>
    <w:rsid w:val="00780FEC"/>
    <w:rsid w:val="007820B1"/>
    <w:rsid w:val="00782A25"/>
    <w:rsid w:val="00786A08"/>
    <w:rsid w:val="00793189"/>
    <w:rsid w:val="00794205"/>
    <w:rsid w:val="00794DC7"/>
    <w:rsid w:val="007A0ACA"/>
    <w:rsid w:val="007A6E5F"/>
    <w:rsid w:val="007C1BF8"/>
    <w:rsid w:val="007C2530"/>
    <w:rsid w:val="007C54DB"/>
    <w:rsid w:val="007C5673"/>
    <w:rsid w:val="007D25B2"/>
    <w:rsid w:val="007D5CCF"/>
    <w:rsid w:val="007E3A55"/>
    <w:rsid w:val="007E74AD"/>
    <w:rsid w:val="007F18E3"/>
    <w:rsid w:val="008001FF"/>
    <w:rsid w:val="00805E7C"/>
    <w:rsid w:val="00807B0B"/>
    <w:rsid w:val="0081174D"/>
    <w:rsid w:val="00816589"/>
    <w:rsid w:val="008173D2"/>
    <w:rsid w:val="0082142C"/>
    <w:rsid w:val="00821A11"/>
    <w:rsid w:val="0083684E"/>
    <w:rsid w:val="00842AE8"/>
    <w:rsid w:val="00843193"/>
    <w:rsid w:val="00844EF8"/>
    <w:rsid w:val="0084702D"/>
    <w:rsid w:val="00850C55"/>
    <w:rsid w:val="00851B56"/>
    <w:rsid w:val="0086288B"/>
    <w:rsid w:val="008650AF"/>
    <w:rsid w:val="0086755F"/>
    <w:rsid w:val="00871E5F"/>
    <w:rsid w:val="00880372"/>
    <w:rsid w:val="00882D48"/>
    <w:rsid w:val="00885C7C"/>
    <w:rsid w:val="00886E2E"/>
    <w:rsid w:val="008875D4"/>
    <w:rsid w:val="00891548"/>
    <w:rsid w:val="008924D3"/>
    <w:rsid w:val="008940BC"/>
    <w:rsid w:val="008965F2"/>
    <w:rsid w:val="0089761B"/>
    <w:rsid w:val="008A03DD"/>
    <w:rsid w:val="008A55CE"/>
    <w:rsid w:val="008A6B26"/>
    <w:rsid w:val="008B2020"/>
    <w:rsid w:val="008B7E46"/>
    <w:rsid w:val="008D1ABC"/>
    <w:rsid w:val="008D4B30"/>
    <w:rsid w:val="008D634C"/>
    <w:rsid w:val="008E1111"/>
    <w:rsid w:val="008E18C7"/>
    <w:rsid w:val="008E1D20"/>
    <w:rsid w:val="008E1F42"/>
    <w:rsid w:val="008E53FE"/>
    <w:rsid w:val="008E58B0"/>
    <w:rsid w:val="00905708"/>
    <w:rsid w:val="009130AD"/>
    <w:rsid w:val="009142EE"/>
    <w:rsid w:val="00915B7C"/>
    <w:rsid w:val="00926097"/>
    <w:rsid w:val="00931F46"/>
    <w:rsid w:val="0094340D"/>
    <w:rsid w:val="00960598"/>
    <w:rsid w:val="00966C3A"/>
    <w:rsid w:val="00967377"/>
    <w:rsid w:val="00977CCD"/>
    <w:rsid w:val="00981DE8"/>
    <w:rsid w:val="00983839"/>
    <w:rsid w:val="00985D6A"/>
    <w:rsid w:val="009868AE"/>
    <w:rsid w:val="00994C89"/>
    <w:rsid w:val="0099617C"/>
    <w:rsid w:val="009968F8"/>
    <w:rsid w:val="009A2430"/>
    <w:rsid w:val="009A37A2"/>
    <w:rsid w:val="009A5E78"/>
    <w:rsid w:val="009B75C3"/>
    <w:rsid w:val="009B7A37"/>
    <w:rsid w:val="009C28FF"/>
    <w:rsid w:val="009C2B84"/>
    <w:rsid w:val="009C3788"/>
    <w:rsid w:val="009C54AC"/>
    <w:rsid w:val="009C64BB"/>
    <w:rsid w:val="009C7391"/>
    <w:rsid w:val="009D136B"/>
    <w:rsid w:val="009D1D0D"/>
    <w:rsid w:val="009F0A5B"/>
    <w:rsid w:val="009F0EDD"/>
    <w:rsid w:val="00A2108A"/>
    <w:rsid w:val="00A22693"/>
    <w:rsid w:val="00A242DB"/>
    <w:rsid w:val="00A26274"/>
    <w:rsid w:val="00A32707"/>
    <w:rsid w:val="00A432BC"/>
    <w:rsid w:val="00A46233"/>
    <w:rsid w:val="00A504B9"/>
    <w:rsid w:val="00A52E02"/>
    <w:rsid w:val="00A54420"/>
    <w:rsid w:val="00A62E45"/>
    <w:rsid w:val="00A670A1"/>
    <w:rsid w:val="00A73E0F"/>
    <w:rsid w:val="00A74FCF"/>
    <w:rsid w:val="00A80FE7"/>
    <w:rsid w:val="00A8232F"/>
    <w:rsid w:val="00A95A7D"/>
    <w:rsid w:val="00A968E4"/>
    <w:rsid w:val="00AA36D5"/>
    <w:rsid w:val="00AA4E52"/>
    <w:rsid w:val="00AA617F"/>
    <w:rsid w:val="00AA7D36"/>
    <w:rsid w:val="00AB021D"/>
    <w:rsid w:val="00AB665A"/>
    <w:rsid w:val="00AC192A"/>
    <w:rsid w:val="00AC447B"/>
    <w:rsid w:val="00AC5C09"/>
    <w:rsid w:val="00AD1616"/>
    <w:rsid w:val="00AD35CF"/>
    <w:rsid w:val="00AD6DEA"/>
    <w:rsid w:val="00AE1FC5"/>
    <w:rsid w:val="00AE2BBC"/>
    <w:rsid w:val="00AF5F6B"/>
    <w:rsid w:val="00B01F78"/>
    <w:rsid w:val="00B0528A"/>
    <w:rsid w:val="00B0535C"/>
    <w:rsid w:val="00B06F00"/>
    <w:rsid w:val="00B07D49"/>
    <w:rsid w:val="00B12F28"/>
    <w:rsid w:val="00B151E9"/>
    <w:rsid w:val="00B15C9E"/>
    <w:rsid w:val="00B17790"/>
    <w:rsid w:val="00B20AE6"/>
    <w:rsid w:val="00B2103D"/>
    <w:rsid w:val="00B23542"/>
    <w:rsid w:val="00B36B83"/>
    <w:rsid w:val="00B42E03"/>
    <w:rsid w:val="00B431C3"/>
    <w:rsid w:val="00B51685"/>
    <w:rsid w:val="00B5205F"/>
    <w:rsid w:val="00B520F3"/>
    <w:rsid w:val="00B532B6"/>
    <w:rsid w:val="00B648DE"/>
    <w:rsid w:val="00B6709A"/>
    <w:rsid w:val="00B85B63"/>
    <w:rsid w:val="00B879B9"/>
    <w:rsid w:val="00B9025A"/>
    <w:rsid w:val="00B90CB5"/>
    <w:rsid w:val="00B95DD4"/>
    <w:rsid w:val="00BA0DD8"/>
    <w:rsid w:val="00BA32D7"/>
    <w:rsid w:val="00BA4109"/>
    <w:rsid w:val="00BC12B8"/>
    <w:rsid w:val="00BC446B"/>
    <w:rsid w:val="00BC56AD"/>
    <w:rsid w:val="00BC6003"/>
    <w:rsid w:val="00BD3814"/>
    <w:rsid w:val="00BE08BA"/>
    <w:rsid w:val="00BE5B34"/>
    <w:rsid w:val="00BE6BE5"/>
    <w:rsid w:val="00BE7087"/>
    <w:rsid w:val="00BF0B29"/>
    <w:rsid w:val="00BF5899"/>
    <w:rsid w:val="00C048DB"/>
    <w:rsid w:val="00C06886"/>
    <w:rsid w:val="00C15A55"/>
    <w:rsid w:val="00C16352"/>
    <w:rsid w:val="00C26A3B"/>
    <w:rsid w:val="00C40036"/>
    <w:rsid w:val="00C540B5"/>
    <w:rsid w:val="00C604B5"/>
    <w:rsid w:val="00C60ACB"/>
    <w:rsid w:val="00C63E31"/>
    <w:rsid w:val="00C67881"/>
    <w:rsid w:val="00C7127E"/>
    <w:rsid w:val="00C76C73"/>
    <w:rsid w:val="00C80181"/>
    <w:rsid w:val="00C8024D"/>
    <w:rsid w:val="00C86C70"/>
    <w:rsid w:val="00C920F5"/>
    <w:rsid w:val="00C931DF"/>
    <w:rsid w:val="00C935AE"/>
    <w:rsid w:val="00C946E7"/>
    <w:rsid w:val="00C977D7"/>
    <w:rsid w:val="00C97BBF"/>
    <w:rsid w:val="00CA0772"/>
    <w:rsid w:val="00CA7388"/>
    <w:rsid w:val="00CB1CA8"/>
    <w:rsid w:val="00CC6359"/>
    <w:rsid w:val="00CC6FB8"/>
    <w:rsid w:val="00CD3D08"/>
    <w:rsid w:val="00CD53A4"/>
    <w:rsid w:val="00CD54B3"/>
    <w:rsid w:val="00CE5E63"/>
    <w:rsid w:val="00CE7DE2"/>
    <w:rsid w:val="00CF30BC"/>
    <w:rsid w:val="00CF393F"/>
    <w:rsid w:val="00CF7BA3"/>
    <w:rsid w:val="00D10737"/>
    <w:rsid w:val="00D11F11"/>
    <w:rsid w:val="00D12A99"/>
    <w:rsid w:val="00D13056"/>
    <w:rsid w:val="00D17166"/>
    <w:rsid w:val="00D306AC"/>
    <w:rsid w:val="00D35B7E"/>
    <w:rsid w:val="00D55097"/>
    <w:rsid w:val="00D5509D"/>
    <w:rsid w:val="00D57FC0"/>
    <w:rsid w:val="00D60D39"/>
    <w:rsid w:val="00D73F20"/>
    <w:rsid w:val="00D748CD"/>
    <w:rsid w:val="00D77B6B"/>
    <w:rsid w:val="00D815B8"/>
    <w:rsid w:val="00D827C4"/>
    <w:rsid w:val="00D8356D"/>
    <w:rsid w:val="00D84BC3"/>
    <w:rsid w:val="00D90923"/>
    <w:rsid w:val="00DB184C"/>
    <w:rsid w:val="00DB5287"/>
    <w:rsid w:val="00DB7B6C"/>
    <w:rsid w:val="00DC0887"/>
    <w:rsid w:val="00DC1B86"/>
    <w:rsid w:val="00DC38A8"/>
    <w:rsid w:val="00DC77A9"/>
    <w:rsid w:val="00DD3CB4"/>
    <w:rsid w:val="00DD4E5E"/>
    <w:rsid w:val="00DD6FD1"/>
    <w:rsid w:val="00DD7DE0"/>
    <w:rsid w:val="00DF1737"/>
    <w:rsid w:val="00E004FC"/>
    <w:rsid w:val="00E135E5"/>
    <w:rsid w:val="00E1402F"/>
    <w:rsid w:val="00E20A2E"/>
    <w:rsid w:val="00E214A9"/>
    <w:rsid w:val="00E3020D"/>
    <w:rsid w:val="00E4011C"/>
    <w:rsid w:val="00E5390F"/>
    <w:rsid w:val="00E5692E"/>
    <w:rsid w:val="00E57D83"/>
    <w:rsid w:val="00E739FD"/>
    <w:rsid w:val="00E80123"/>
    <w:rsid w:val="00E9638F"/>
    <w:rsid w:val="00E96B3A"/>
    <w:rsid w:val="00EA4E3D"/>
    <w:rsid w:val="00EA77BB"/>
    <w:rsid w:val="00EA7BEE"/>
    <w:rsid w:val="00EB38C8"/>
    <w:rsid w:val="00EB6C16"/>
    <w:rsid w:val="00ED42EF"/>
    <w:rsid w:val="00ED7E4F"/>
    <w:rsid w:val="00EF6071"/>
    <w:rsid w:val="00EF7CE9"/>
    <w:rsid w:val="00F029A5"/>
    <w:rsid w:val="00F02CED"/>
    <w:rsid w:val="00F04BC7"/>
    <w:rsid w:val="00F15621"/>
    <w:rsid w:val="00F20A73"/>
    <w:rsid w:val="00F2113B"/>
    <w:rsid w:val="00F2642F"/>
    <w:rsid w:val="00F43582"/>
    <w:rsid w:val="00F44862"/>
    <w:rsid w:val="00F44E10"/>
    <w:rsid w:val="00F47514"/>
    <w:rsid w:val="00F504C7"/>
    <w:rsid w:val="00F517DE"/>
    <w:rsid w:val="00F556AE"/>
    <w:rsid w:val="00F64149"/>
    <w:rsid w:val="00F67BF4"/>
    <w:rsid w:val="00F75B69"/>
    <w:rsid w:val="00F761BD"/>
    <w:rsid w:val="00F8018C"/>
    <w:rsid w:val="00F80715"/>
    <w:rsid w:val="00F84ADC"/>
    <w:rsid w:val="00F8533D"/>
    <w:rsid w:val="00F90285"/>
    <w:rsid w:val="00F95B9D"/>
    <w:rsid w:val="00F96689"/>
    <w:rsid w:val="00FA229B"/>
    <w:rsid w:val="00FA4BA0"/>
    <w:rsid w:val="00FC3C93"/>
    <w:rsid w:val="00FC3E6F"/>
    <w:rsid w:val="00FD01DC"/>
    <w:rsid w:val="00FE4E7F"/>
    <w:rsid w:val="00FF06ED"/>
    <w:rsid w:val="00FF6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589"/>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 w:hAnsi="Arial" w:cs="Arial"/>
      <w:b/>
      <w:bCs/>
    </w:rPr>
  </w:style>
  <w:style w:type="paragraph" w:styleId="Heading3">
    <w:name w:val="heading 3"/>
    <w:basedOn w:val="Normal"/>
    <w:next w:val="Normal"/>
    <w:qFormat/>
    <w:pPr>
      <w:keepNext/>
      <w:jc w:val="center"/>
      <w:outlineLvl w:val="2"/>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harChar2">
    <w:name w:val=" Char Char2"/>
    <w:basedOn w:val="Normal"/>
    <w:rsid w:val="003229AC"/>
    <w:pPr>
      <w:spacing w:after="160" w:line="240" w:lineRule="exact"/>
    </w:pPr>
    <w:rPr>
      <w:rFonts w:ascii="Tahoma" w:hAnsi="Tahoma"/>
      <w:sz w:val="20"/>
      <w:szCs w:val="20"/>
      <w:lang w:eastAsia="en-GB"/>
    </w:rPr>
  </w:style>
  <w:style w:type="paragraph" w:styleId="Revision">
    <w:name w:val="Revision"/>
    <w:hidden/>
    <w:uiPriority w:val="99"/>
    <w:semiHidden/>
    <w:rsid w:val="008E1D2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589"/>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 w:hAnsi="Arial" w:cs="Arial"/>
      <w:b/>
      <w:bCs/>
    </w:rPr>
  </w:style>
  <w:style w:type="paragraph" w:styleId="Heading3">
    <w:name w:val="heading 3"/>
    <w:basedOn w:val="Normal"/>
    <w:next w:val="Normal"/>
    <w:qFormat/>
    <w:pPr>
      <w:keepNext/>
      <w:jc w:val="center"/>
      <w:outlineLvl w:val="2"/>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harChar2">
    <w:name w:val=" Char Char2"/>
    <w:basedOn w:val="Normal"/>
    <w:rsid w:val="003229AC"/>
    <w:pPr>
      <w:spacing w:after="160" w:line="240" w:lineRule="exact"/>
    </w:pPr>
    <w:rPr>
      <w:rFonts w:ascii="Tahoma" w:hAnsi="Tahoma"/>
      <w:sz w:val="20"/>
      <w:szCs w:val="20"/>
      <w:lang w:eastAsia="en-GB"/>
    </w:rPr>
  </w:style>
  <w:style w:type="paragraph" w:styleId="Revision">
    <w:name w:val="Revision"/>
    <w:hidden/>
    <w:uiPriority w:val="99"/>
    <w:semiHidden/>
    <w:rsid w:val="008E1D2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D3D67-2DDB-4434-9858-9A7B13D8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Appendix D</vt:lpstr>
    </vt:vector>
  </TitlesOfParts>
  <Company>Harrow IT Service</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dthompso</dc:creator>
  <cp:lastModifiedBy>David</cp:lastModifiedBy>
  <cp:revision>2</cp:revision>
  <cp:lastPrinted>2019-12-23T12:36:00Z</cp:lastPrinted>
  <dcterms:created xsi:type="dcterms:W3CDTF">2021-02-13T21:27:00Z</dcterms:created>
  <dcterms:modified xsi:type="dcterms:W3CDTF">2021-02-13T21:27:00Z</dcterms:modified>
</cp:coreProperties>
</file>